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9B" w:rsidRDefault="00F55B9B" w:rsidP="00F55B9B">
      <w:pPr>
        <w:jc w:val="right"/>
        <w:rPr>
          <w:i/>
          <w:sz w:val="16"/>
          <w:szCs w:val="16"/>
          <w:lang w:val="en-GB"/>
        </w:rPr>
      </w:pPr>
      <w:r w:rsidRPr="008E4CED">
        <w:rPr>
          <w:i/>
          <w:sz w:val="16"/>
          <w:szCs w:val="16"/>
          <w:lang w:val="en-GB"/>
        </w:rPr>
        <w:t xml:space="preserve">Attachment No. </w:t>
      </w:r>
      <w:r>
        <w:rPr>
          <w:i/>
          <w:sz w:val="16"/>
          <w:szCs w:val="16"/>
          <w:lang w:val="en-GB"/>
        </w:rPr>
        <w:t>2</w:t>
      </w:r>
      <w:r w:rsidRPr="008E4CED">
        <w:rPr>
          <w:i/>
          <w:sz w:val="16"/>
          <w:szCs w:val="16"/>
          <w:lang w:val="en-GB"/>
        </w:rPr>
        <w:t xml:space="preserve"> to Rector’s ordinance No. </w:t>
      </w:r>
      <w:r>
        <w:rPr>
          <w:i/>
          <w:sz w:val="16"/>
          <w:szCs w:val="16"/>
          <w:lang w:val="en-GB"/>
        </w:rPr>
        <w:t>90</w:t>
      </w:r>
      <w:r w:rsidRPr="008E4CED">
        <w:rPr>
          <w:i/>
          <w:sz w:val="16"/>
          <w:szCs w:val="16"/>
          <w:lang w:val="en-GB"/>
        </w:rPr>
        <w:t xml:space="preserve"> </w:t>
      </w:r>
      <w:r>
        <w:rPr>
          <w:i/>
          <w:sz w:val="16"/>
          <w:szCs w:val="16"/>
          <w:lang w:val="en-GB"/>
        </w:rPr>
        <w:t>/2018</w:t>
      </w:r>
    </w:p>
    <w:p w:rsidR="00F55B9B" w:rsidRPr="008E4CED" w:rsidRDefault="00F55B9B" w:rsidP="00F55B9B">
      <w:pPr>
        <w:jc w:val="center"/>
        <w:rPr>
          <w:i/>
          <w:caps/>
          <w:lang w:val="en-GB"/>
        </w:rPr>
      </w:pPr>
    </w:p>
    <w:p w:rsidR="00F55B9B" w:rsidRPr="00EE2575" w:rsidRDefault="00F55B9B" w:rsidP="00F55B9B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F55B9B" w:rsidRPr="00EE2575" w:rsidRDefault="00F55B9B" w:rsidP="00F55B9B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F55B9B" w:rsidRPr="00EE2575" w:rsidTr="00C633D9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B9B" w:rsidRPr="005129C1" w:rsidRDefault="00F55B9B" w:rsidP="00F55B9B">
            <w:pPr>
              <w:snapToGrid w:val="0"/>
              <w:jc w:val="center"/>
              <w:rPr>
                <w:b/>
                <w:lang w:val="en-GB"/>
              </w:rPr>
            </w:pPr>
            <w:r w:rsidRPr="00F933A3">
              <w:rPr>
                <w:b/>
                <w:lang w:val="en-GB"/>
              </w:rPr>
              <w:t>0912-7LEK-B2.6-P</w:t>
            </w:r>
          </w:p>
        </w:tc>
      </w:tr>
      <w:tr w:rsidR="00F55B9B" w:rsidRPr="00EE2575" w:rsidTr="00C633D9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  <w:r w:rsidRPr="00EE2575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jc w:val="center"/>
              <w:rPr>
                <w:b/>
                <w:lang w:val="en-GB"/>
              </w:rPr>
            </w:pPr>
            <w:proofErr w:type="spellStart"/>
            <w:r w:rsidRPr="00F933A3">
              <w:rPr>
                <w:b/>
                <w:lang w:val="en-GB"/>
              </w:rPr>
              <w:t>Patologia</w:t>
            </w:r>
            <w:proofErr w:type="spellEnd"/>
          </w:p>
        </w:tc>
      </w:tr>
      <w:tr w:rsidR="00F55B9B" w:rsidRPr="00EE2575" w:rsidTr="00C633D9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jc w:val="center"/>
              <w:rPr>
                <w:b/>
                <w:lang w:val="en-GB"/>
              </w:rPr>
            </w:pPr>
            <w:r w:rsidRPr="00F933A3">
              <w:rPr>
                <w:b/>
                <w:lang w:val="en-GB"/>
              </w:rPr>
              <w:t>Pathology</w:t>
            </w:r>
          </w:p>
        </w:tc>
      </w:tr>
    </w:tbl>
    <w:p w:rsidR="00F55B9B" w:rsidRPr="00EE2575" w:rsidRDefault="00F55B9B" w:rsidP="00F55B9B">
      <w:pPr>
        <w:rPr>
          <w:b/>
          <w:lang w:val="en-GB"/>
        </w:rPr>
      </w:pPr>
    </w:p>
    <w:p w:rsidR="00F55B9B" w:rsidRPr="00EE2575" w:rsidRDefault="00F55B9B" w:rsidP="00F55B9B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F55B9B" w:rsidRPr="00EE2575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F933A3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F55B9B" w:rsidRPr="00EE2575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F933A3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F55B9B" w:rsidRPr="00EE2575" w:rsidTr="00C633D9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F933A3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F55B9B" w:rsidRPr="00EE2575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General academic </w:t>
            </w:r>
          </w:p>
        </w:tc>
      </w:tr>
      <w:tr w:rsidR="00F55B9B" w:rsidRPr="00837711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BF372D" w:rsidRDefault="00BF372D" w:rsidP="00F55B9B">
            <w:pPr>
              <w:snapToGrid w:val="0"/>
              <w:rPr>
                <w:sz w:val="20"/>
                <w:szCs w:val="20"/>
                <w:lang w:val="en-US"/>
              </w:rPr>
            </w:pPr>
            <w:r w:rsidRPr="00BF372D">
              <w:rPr>
                <w:sz w:val="20"/>
                <w:szCs w:val="20"/>
                <w:lang w:val="en-US" w:eastAsia="pl-PL"/>
              </w:rPr>
              <w:t xml:space="preserve">Associate Prof. </w:t>
            </w:r>
            <w:r w:rsidR="00F55B9B" w:rsidRPr="00BF372D">
              <w:rPr>
                <w:sz w:val="20"/>
                <w:szCs w:val="20"/>
                <w:lang w:val="en-US" w:eastAsia="pl-PL"/>
              </w:rPr>
              <w:t>Piotr Lewitowicz MD, PhD</w:t>
            </w:r>
          </w:p>
        </w:tc>
      </w:tr>
      <w:tr w:rsidR="00F55B9B" w:rsidRPr="00EE2575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Pr="00F933A3">
              <w:rPr>
                <w:sz w:val="20"/>
                <w:szCs w:val="20"/>
                <w:lang w:eastAsia="pl-PL"/>
              </w:rPr>
              <w:t>lewitowicz@ujk,edu.pl</w:t>
            </w:r>
          </w:p>
        </w:tc>
      </w:tr>
    </w:tbl>
    <w:p w:rsidR="00F55B9B" w:rsidRPr="00EE2575" w:rsidRDefault="00F55B9B" w:rsidP="00F55B9B">
      <w:pPr>
        <w:rPr>
          <w:b/>
          <w:sz w:val="20"/>
          <w:szCs w:val="20"/>
          <w:lang w:val="en-GB"/>
        </w:rPr>
      </w:pPr>
    </w:p>
    <w:p w:rsidR="00F55B9B" w:rsidRPr="00EE2575" w:rsidRDefault="00F55B9B" w:rsidP="00F55B9B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F55B9B" w:rsidRPr="00EE2575" w:rsidTr="00C633D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C633D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F55B9B" w:rsidRDefault="00F55B9B" w:rsidP="00C633D9">
            <w:pPr>
              <w:snapToGrid w:val="0"/>
              <w:rPr>
                <w:sz w:val="20"/>
                <w:szCs w:val="20"/>
                <w:lang w:val="en-GB"/>
              </w:rPr>
            </w:pPr>
            <w:r w:rsidRPr="00F55B9B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F55B9B" w:rsidRPr="00EE2575" w:rsidTr="00C633D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 w:rsidRPr="00CA2301">
              <w:rPr>
                <w:sz w:val="20"/>
                <w:szCs w:val="20"/>
                <w:lang w:eastAsia="pl-PL"/>
              </w:rPr>
              <w:t>Anatomy</w:t>
            </w:r>
            <w:proofErr w:type="spellEnd"/>
            <w:r w:rsidRPr="00CA2301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A2301">
              <w:rPr>
                <w:sz w:val="20"/>
                <w:szCs w:val="20"/>
                <w:lang w:eastAsia="pl-PL"/>
              </w:rPr>
              <w:t>histology</w:t>
            </w:r>
            <w:proofErr w:type="spellEnd"/>
            <w:r w:rsidRPr="00CA2301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A2301">
              <w:rPr>
                <w:sz w:val="20"/>
                <w:szCs w:val="20"/>
                <w:lang w:eastAsia="pl-PL"/>
              </w:rPr>
              <w:t>physiology</w:t>
            </w:r>
            <w:proofErr w:type="spellEnd"/>
            <w:r w:rsidRPr="00CA2301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A2301">
              <w:rPr>
                <w:sz w:val="20"/>
                <w:szCs w:val="20"/>
                <w:lang w:eastAsia="pl-PL"/>
              </w:rPr>
              <w:t>pathophysiology</w:t>
            </w:r>
            <w:proofErr w:type="spellEnd"/>
          </w:p>
        </w:tc>
      </w:tr>
    </w:tbl>
    <w:p w:rsidR="00F55B9B" w:rsidRPr="00EE2575" w:rsidRDefault="00F55B9B" w:rsidP="00F55B9B">
      <w:pPr>
        <w:rPr>
          <w:b/>
          <w:sz w:val="20"/>
          <w:szCs w:val="20"/>
          <w:lang w:val="en-GB"/>
        </w:rPr>
      </w:pPr>
    </w:p>
    <w:p w:rsidR="00F55B9B" w:rsidRPr="00EE2575" w:rsidRDefault="00F55B9B" w:rsidP="00F55B9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F55B9B" w:rsidRPr="00EE2575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Lectures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: 50, </w:t>
            </w:r>
            <w:proofErr w:type="spellStart"/>
            <w:r>
              <w:rPr>
                <w:sz w:val="20"/>
                <w:szCs w:val="20"/>
                <w:lang w:eastAsia="pl-PL"/>
              </w:rPr>
              <w:t>classes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: 100, </w:t>
            </w:r>
          </w:p>
        </w:tc>
      </w:tr>
      <w:tr w:rsidR="00F55B9B" w:rsidRPr="00EE2575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CA230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CA2301">
              <w:rPr>
                <w:sz w:val="20"/>
                <w:szCs w:val="20"/>
                <w:lang w:val="en-GB"/>
              </w:rPr>
              <w:t>Lecture Halls at UJK</w:t>
            </w:r>
          </w:p>
          <w:p w:rsidR="00F55B9B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CA2301">
              <w:rPr>
                <w:sz w:val="20"/>
                <w:szCs w:val="20"/>
                <w:lang w:val="en-GB"/>
              </w:rPr>
              <w:t>Didactic rooms at UJK</w:t>
            </w:r>
          </w:p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Autopsy room</w:t>
            </w:r>
          </w:p>
        </w:tc>
      </w:tr>
      <w:tr w:rsidR="00F55B9B" w:rsidRPr="00837711" w:rsidTr="00C633D9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9244D9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9244D9">
              <w:rPr>
                <w:sz w:val="20"/>
                <w:szCs w:val="20"/>
                <w:lang w:val="en-GB"/>
              </w:rPr>
              <w:t xml:space="preserve">Partial theoretical and practical tests ( web based </w:t>
            </w:r>
            <w:proofErr w:type="spellStart"/>
            <w:r w:rsidRPr="009244D9">
              <w:rPr>
                <w:sz w:val="20"/>
                <w:szCs w:val="20"/>
                <w:lang w:val="en-GB"/>
              </w:rPr>
              <w:t>PathXL</w:t>
            </w:r>
            <w:proofErr w:type="spellEnd"/>
            <w:r w:rsidRPr="009244D9">
              <w:rPr>
                <w:sz w:val="20"/>
                <w:szCs w:val="20"/>
                <w:lang w:val="en-GB"/>
              </w:rPr>
              <w:t xml:space="preserve"> test)</w:t>
            </w:r>
          </w:p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9244D9">
              <w:rPr>
                <w:sz w:val="20"/>
                <w:szCs w:val="20"/>
                <w:lang w:val="en-GB"/>
              </w:rPr>
              <w:t xml:space="preserve">Final theoretical and practical exam (web based </w:t>
            </w:r>
            <w:proofErr w:type="spellStart"/>
            <w:r w:rsidRPr="009244D9">
              <w:rPr>
                <w:sz w:val="20"/>
                <w:szCs w:val="20"/>
                <w:lang w:val="en-GB"/>
              </w:rPr>
              <w:t>PathXL</w:t>
            </w:r>
            <w:proofErr w:type="spellEnd"/>
            <w:r w:rsidRPr="009244D9">
              <w:rPr>
                <w:sz w:val="20"/>
                <w:szCs w:val="20"/>
                <w:lang w:val="en-GB"/>
              </w:rPr>
              <w:t xml:space="preserve"> test)</w:t>
            </w:r>
          </w:p>
        </w:tc>
      </w:tr>
      <w:tr w:rsidR="00F55B9B" w:rsidRPr="00837711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CA230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CA2301">
              <w:rPr>
                <w:sz w:val="20"/>
                <w:szCs w:val="20"/>
                <w:lang w:val="en-GB"/>
              </w:rPr>
              <w:t>Lecture – lecture with multimedia presentation</w:t>
            </w:r>
          </w:p>
          <w:p w:rsidR="00F55B9B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Class - discussion about </w:t>
            </w:r>
            <w:r w:rsidRPr="00CA2301">
              <w:rPr>
                <w:sz w:val="20"/>
                <w:szCs w:val="20"/>
                <w:lang w:val="en-GB"/>
              </w:rPr>
              <w:t xml:space="preserve">current </w:t>
            </w:r>
            <w:r>
              <w:rPr>
                <w:sz w:val="20"/>
                <w:szCs w:val="20"/>
                <w:lang w:val="en-GB"/>
              </w:rPr>
              <w:t xml:space="preserve">topic, </w:t>
            </w:r>
            <w:r w:rsidRPr="00CA2301">
              <w:rPr>
                <w:sz w:val="20"/>
                <w:szCs w:val="20"/>
                <w:lang w:val="en-GB"/>
              </w:rPr>
              <w:t xml:space="preserve"> working with digital </w:t>
            </w:r>
            <w:r>
              <w:rPr>
                <w:sz w:val="20"/>
                <w:szCs w:val="20"/>
                <w:lang w:val="en-GB"/>
              </w:rPr>
              <w:t>pictures</w:t>
            </w:r>
            <w:r w:rsidRPr="00CA2301">
              <w:rPr>
                <w:sz w:val="20"/>
                <w:szCs w:val="20"/>
                <w:lang w:val="en-GB"/>
              </w:rPr>
              <w:t xml:space="preserve"> – macroscopic and microscopic pictures and slides. Discuss about predicting and prognostic factors. </w:t>
            </w:r>
          </w:p>
          <w:p w:rsidR="00944234" w:rsidRPr="00CA2301" w:rsidRDefault="00944234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e-learning</w:t>
            </w:r>
          </w:p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Autopsy</w:t>
            </w:r>
            <w:r w:rsidRPr="00CA2301">
              <w:rPr>
                <w:sz w:val="20"/>
                <w:szCs w:val="20"/>
                <w:lang w:val="en-GB"/>
              </w:rPr>
              <w:t xml:space="preserve">  – </w:t>
            </w:r>
            <w:r>
              <w:rPr>
                <w:sz w:val="20"/>
                <w:szCs w:val="20"/>
                <w:lang w:val="en-GB"/>
              </w:rPr>
              <w:t xml:space="preserve">active </w:t>
            </w:r>
            <w:r w:rsidRPr="00CA2301">
              <w:rPr>
                <w:sz w:val="20"/>
                <w:szCs w:val="20"/>
                <w:lang w:val="en-GB"/>
              </w:rPr>
              <w:t xml:space="preserve">participation in the autopsy , discussion about </w:t>
            </w:r>
            <w:r>
              <w:rPr>
                <w:sz w:val="20"/>
                <w:szCs w:val="20"/>
                <w:lang w:val="en-GB"/>
              </w:rPr>
              <w:t xml:space="preserve">a </w:t>
            </w:r>
            <w:r w:rsidRPr="00CA2301">
              <w:rPr>
                <w:sz w:val="20"/>
                <w:szCs w:val="20"/>
                <w:lang w:val="en-GB"/>
              </w:rPr>
              <w:t>case</w:t>
            </w:r>
          </w:p>
        </w:tc>
      </w:tr>
      <w:tr w:rsidR="00F55B9B" w:rsidRPr="00837711" w:rsidTr="00C633D9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F55B9B" w:rsidRDefault="00F55B9B" w:rsidP="00F55B9B">
            <w:pPr>
              <w:rPr>
                <w:sz w:val="20"/>
                <w:szCs w:val="20"/>
                <w:lang w:val="en-US" w:eastAsia="pl-PL"/>
              </w:rPr>
            </w:pPr>
            <w:r w:rsidRPr="00F55B9B">
              <w:rPr>
                <w:sz w:val="20"/>
                <w:szCs w:val="20"/>
                <w:lang w:val="en-US" w:eastAsia="pl-PL"/>
              </w:rPr>
              <w:t xml:space="preserve">1. V. Kumar, A. K. Abbas, J. C. Aster. Robbins and </w:t>
            </w:r>
            <w:proofErr w:type="spellStart"/>
            <w:r w:rsidRPr="00F55B9B">
              <w:rPr>
                <w:sz w:val="20"/>
                <w:szCs w:val="20"/>
                <w:lang w:val="en-US" w:eastAsia="pl-PL"/>
              </w:rPr>
              <w:t>Cotran</w:t>
            </w:r>
            <w:proofErr w:type="spellEnd"/>
            <w:r w:rsidRPr="00F55B9B">
              <w:rPr>
                <w:sz w:val="20"/>
                <w:szCs w:val="20"/>
                <w:lang w:val="en-US" w:eastAsia="pl-PL"/>
              </w:rPr>
              <w:t xml:space="preserve"> Pathologic Basis of Disease. </w:t>
            </w:r>
            <w:proofErr w:type="spellStart"/>
            <w:r w:rsidRPr="00F55B9B">
              <w:rPr>
                <w:sz w:val="20"/>
                <w:szCs w:val="20"/>
                <w:lang w:val="en-US" w:eastAsia="pl-PL"/>
              </w:rPr>
              <w:t>IXth</w:t>
            </w:r>
            <w:proofErr w:type="spellEnd"/>
            <w:r w:rsidRPr="00F55B9B">
              <w:rPr>
                <w:sz w:val="20"/>
                <w:szCs w:val="20"/>
                <w:lang w:val="en-US" w:eastAsia="pl-PL"/>
              </w:rPr>
              <w:t xml:space="preserve"> Edition, 2015, Elsevier.  </w:t>
            </w:r>
          </w:p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F55B9B">
              <w:rPr>
                <w:sz w:val="20"/>
                <w:szCs w:val="20"/>
                <w:lang w:val="en-US" w:eastAsia="pl-PL"/>
              </w:rPr>
              <w:t>2. V. Kumar, A. K. Abbas, J. C. Aster. Robbins Basic Pathology. IX Edition, 2013, Elsevier.</w:t>
            </w:r>
          </w:p>
        </w:tc>
      </w:tr>
      <w:tr w:rsidR="00F55B9B" w:rsidRPr="00837711" w:rsidTr="00C633D9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F55B9B" w:rsidRDefault="00F55B9B" w:rsidP="00F55B9B">
            <w:pPr>
              <w:rPr>
                <w:sz w:val="20"/>
                <w:szCs w:val="20"/>
                <w:lang w:val="en-US" w:eastAsia="pl-PL"/>
              </w:rPr>
            </w:pPr>
            <w:r w:rsidRPr="00F55B9B">
              <w:rPr>
                <w:sz w:val="20"/>
                <w:szCs w:val="20"/>
                <w:lang w:val="en-US" w:eastAsia="pl-PL"/>
              </w:rPr>
              <w:t xml:space="preserve">1. E. C. Klatt. Robbins and </w:t>
            </w:r>
            <w:proofErr w:type="spellStart"/>
            <w:r w:rsidRPr="00F55B9B">
              <w:rPr>
                <w:sz w:val="20"/>
                <w:szCs w:val="20"/>
                <w:lang w:val="en-US" w:eastAsia="pl-PL"/>
              </w:rPr>
              <w:t>Cotran</w:t>
            </w:r>
            <w:proofErr w:type="spellEnd"/>
            <w:r w:rsidRPr="00F55B9B">
              <w:rPr>
                <w:sz w:val="20"/>
                <w:szCs w:val="20"/>
                <w:lang w:val="en-US" w:eastAsia="pl-PL"/>
              </w:rPr>
              <w:t xml:space="preserve"> Atlas of Pathology, 3th Edition, 2015, Elsevier. </w:t>
            </w:r>
          </w:p>
        </w:tc>
      </w:tr>
    </w:tbl>
    <w:p w:rsidR="00F55B9B" w:rsidRPr="00EE2575" w:rsidRDefault="00F55B9B" w:rsidP="00F55B9B">
      <w:pPr>
        <w:rPr>
          <w:b/>
          <w:sz w:val="20"/>
          <w:szCs w:val="20"/>
          <w:lang w:val="en-GB"/>
        </w:rPr>
      </w:pPr>
    </w:p>
    <w:p w:rsidR="00F55B9B" w:rsidRPr="00EE2575" w:rsidRDefault="00F55B9B" w:rsidP="00F55B9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</w:t>
      </w:r>
      <w:r>
        <w:rPr>
          <w:b/>
          <w:caps/>
          <w:sz w:val="20"/>
          <w:szCs w:val="20"/>
          <w:lang w:val="en-GB"/>
        </w:rPr>
        <w:t>us CONTENT and intended LEARNING</w:t>
      </w:r>
      <w:r w:rsidRPr="00EE2575">
        <w:rPr>
          <w:b/>
          <w:caps/>
          <w:sz w:val="20"/>
          <w:szCs w:val="20"/>
          <w:lang w:val="en-GB"/>
        </w:rPr>
        <w:t xml:space="preserve"> outcomes</w:t>
      </w:r>
      <w:r w:rsidRPr="00EE2575">
        <w:rPr>
          <w:b/>
          <w:sz w:val="20"/>
          <w:szCs w:val="20"/>
          <w:lang w:val="en-GB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F55B9B" w:rsidRPr="00837711" w:rsidTr="00C633D9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B9B" w:rsidRPr="00EE2575" w:rsidRDefault="00F55B9B" w:rsidP="00C633D9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F55B9B" w:rsidRPr="007D23D0" w:rsidRDefault="00F55B9B" w:rsidP="00F55B9B">
            <w:pPr>
              <w:snapToGrid w:val="0"/>
              <w:ind w:left="360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7D23D0">
              <w:rPr>
                <w:b/>
                <w:color w:val="000000" w:themeColor="text1"/>
                <w:sz w:val="20"/>
                <w:szCs w:val="20"/>
                <w:lang w:val="en-GB"/>
              </w:rPr>
              <w:t>Lecture</w:t>
            </w:r>
          </w:p>
          <w:p w:rsidR="00F55B9B" w:rsidRPr="00CA2301" w:rsidRDefault="00F55B9B" w:rsidP="00F55B9B">
            <w:pPr>
              <w:ind w:left="356"/>
              <w:rPr>
                <w:sz w:val="20"/>
                <w:szCs w:val="20"/>
                <w:lang w:val="en-GB"/>
              </w:rPr>
            </w:pPr>
            <w:r w:rsidRPr="00CA2301">
              <w:rPr>
                <w:sz w:val="20"/>
                <w:szCs w:val="20"/>
                <w:lang w:val="en-GB"/>
              </w:rPr>
              <w:t>C1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CA2301">
              <w:rPr>
                <w:sz w:val="20"/>
                <w:szCs w:val="20"/>
                <w:lang w:val="en-GB"/>
              </w:rPr>
              <w:t xml:space="preserve">- </w:t>
            </w:r>
            <w:r w:rsidRPr="00B2057B">
              <w:rPr>
                <w:sz w:val="20"/>
                <w:szCs w:val="20"/>
                <w:lang w:val="en-GB"/>
              </w:rPr>
              <w:t>The aim of the subject is to present the issues of general human pathology with particular regard to adaptation processes, inflammations, circulatory disorders, tumors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F55B9B" w:rsidRPr="00CA2301" w:rsidRDefault="00F55B9B" w:rsidP="00F55B9B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C2 - </w:t>
            </w:r>
            <w:r w:rsidRPr="00B2057B">
              <w:rPr>
                <w:sz w:val="20"/>
                <w:szCs w:val="20"/>
                <w:lang w:val="en-GB"/>
              </w:rPr>
              <w:t>The aim is to know the pathogenesis of non-cancerous diseases and cancers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F55B9B" w:rsidRPr="00CA2301" w:rsidRDefault="00F55B9B" w:rsidP="00F55B9B">
            <w:pPr>
              <w:ind w:left="356"/>
              <w:rPr>
                <w:sz w:val="20"/>
                <w:szCs w:val="20"/>
                <w:lang w:val="en-GB"/>
              </w:rPr>
            </w:pPr>
            <w:r w:rsidRPr="00CA2301">
              <w:rPr>
                <w:sz w:val="20"/>
                <w:szCs w:val="20"/>
                <w:lang w:val="en-GB"/>
              </w:rPr>
              <w:t>C3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CA2301">
              <w:rPr>
                <w:sz w:val="20"/>
                <w:szCs w:val="20"/>
                <w:lang w:val="en-GB"/>
              </w:rPr>
              <w:t xml:space="preserve">- </w:t>
            </w:r>
            <w:r w:rsidRPr="001C4BD6">
              <w:rPr>
                <w:sz w:val="20"/>
                <w:szCs w:val="20"/>
                <w:lang w:val="en-GB"/>
              </w:rPr>
              <w:t>The goal is to get famili</w:t>
            </w:r>
            <w:r>
              <w:rPr>
                <w:sz w:val="20"/>
                <w:szCs w:val="20"/>
                <w:lang w:val="en-GB"/>
              </w:rPr>
              <w:t>ar with pathological methods as well</w:t>
            </w:r>
            <w:r w:rsidRPr="001C4BD6">
              <w:rPr>
                <w:sz w:val="20"/>
                <w:szCs w:val="20"/>
                <w:lang w:val="en-GB"/>
              </w:rPr>
              <w:t xml:space="preserve"> know</w:t>
            </w:r>
            <w:r>
              <w:rPr>
                <w:sz w:val="20"/>
                <w:szCs w:val="20"/>
                <w:lang w:val="en-GB"/>
              </w:rPr>
              <w:t>ing</w:t>
            </w:r>
            <w:r w:rsidRPr="001C4BD6">
              <w:rPr>
                <w:sz w:val="20"/>
                <w:szCs w:val="20"/>
                <w:lang w:val="en-GB"/>
              </w:rPr>
              <w:t xml:space="preserve"> their limitations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F55B9B" w:rsidRDefault="00F55B9B" w:rsidP="00F55B9B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C4 -</w:t>
            </w:r>
            <w:r w:rsidRPr="00CA2301">
              <w:rPr>
                <w:sz w:val="20"/>
                <w:szCs w:val="20"/>
                <w:lang w:val="en-GB"/>
              </w:rPr>
              <w:t xml:space="preserve"> The role of strict cooperation clinicians with pathologists.</w:t>
            </w:r>
          </w:p>
          <w:p w:rsidR="00F55B9B" w:rsidRDefault="00F55B9B" w:rsidP="00F55B9B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C5 - </w:t>
            </w:r>
            <w:r w:rsidRPr="008D65B9">
              <w:rPr>
                <w:sz w:val="20"/>
                <w:szCs w:val="20"/>
                <w:lang w:val="en-GB"/>
              </w:rPr>
              <w:t>The goal is to know the relationship between the patient, t</w:t>
            </w:r>
            <w:r>
              <w:rPr>
                <w:sz w:val="20"/>
                <w:szCs w:val="20"/>
                <w:lang w:val="en-GB"/>
              </w:rPr>
              <w:t xml:space="preserve">he clinician and the </w:t>
            </w:r>
            <w:proofErr w:type="spellStart"/>
            <w:r w:rsidRPr="008D65B9">
              <w:rPr>
                <w:sz w:val="20"/>
                <w:szCs w:val="20"/>
                <w:lang w:val="en-GB"/>
              </w:rPr>
              <w:t>pathomorphologist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  <w:p w:rsidR="00F55B9B" w:rsidRPr="00F55B9B" w:rsidRDefault="00F55B9B" w:rsidP="00F55B9B">
            <w:pPr>
              <w:ind w:left="356"/>
              <w:rPr>
                <w:sz w:val="20"/>
                <w:szCs w:val="20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>Classes</w:t>
            </w:r>
          </w:p>
          <w:p w:rsidR="00F55B9B" w:rsidRPr="00F55B9B" w:rsidRDefault="00F55B9B" w:rsidP="00F55B9B">
            <w:pPr>
              <w:ind w:left="356"/>
              <w:rPr>
                <w:sz w:val="20"/>
                <w:szCs w:val="20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>C1 - The aim of the exercises is to continue the issues presented during the lectures with a special emphasis on understanding the cause-effect sequence of organ diseases</w:t>
            </w:r>
          </w:p>
          <w:p w:rsidR="00F55B9B" w:rsidRPr="00F55B9B" w:rsidRDefault="00F55B9B" w:rsidP="00F55B9B">
            <w:pPr>
              <w:ind w:left="356"/>
              <w:rPr>
                <w:sz w:val="20"/>
                <w:szCs w:val="20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>C2 – The goal is to get to know the detailed pathology of the organs</w:t>
            </w:r>
          </w:p>
          <w:p w:rsidR="00F55B9B" w:rsidRPr="00F55B9B" w:rsidRDefault="00F55B9B" w:rsidP="00F55B9B">
            <w:pPr>
              <w:ind w:left="356"/>
              <w:rPr>
                <w:sz w:val="20"/>
                <w:szCs w:val="20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>C3 – The goal is to know the morphology of organs</w:t>
            </w:r>
          </w:p>
          <w:p w:rsidR="00F55B9B" w:rsidRPr="00F55B9B" w:rsidRDefault="00F55B9B" w:rsidP="00F55B9B">
            <w:pPr>
              <w:ind w:left="356"/>
              <w:rPr>
                <w:sz w:val="20"/>
                <w:szCs w:val="20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>C4 – The aim is to know the morphological exponent of non-cancerous diseases and cancers</w:t>
            </w:r>
          </w:p>
        </w:tc>
      </w:tr>
      <w:tr w:rsidR="00F55B9B" w:rsidRPr="00837711" w:rsidTr="00C633D9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B9B" w:rsidRPr="00EE2575" w:rsidRDefault="00F55B9B" w:rsidP="00C633D9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F55B9B" w:rsidRPr="00F55B9B" w:rsidRDefault="00F55B9B" w:rsidP="00F55B9B">
            <w:pPr>
              <w:ind w:left="360"/>
              <w:contextualSpacing/>
              <w:rPr>
                <w:bCs/>
                <w:sz w:val="18"/>
                <w:szCs w:val="18"/>
                <w:lang w:val="en-US"/>
              </w:rPr>
            </w:pPr>
            <w:r w:rsidRPr="00F55B9B">
              <w:rPr>
                <w:b/>
                <w:i/>
                <w:sz w:val="20"/>
                <w:szCs w:val="20"/>
                <w:lang w:val="en-US"/>
              </w:rPr>
              <w:t>Lectures,</w:t>
            </w:r>
            <w:r w:rsidRPr="00F55B9B">
              <w:rPr>
                <w:sz w:val="20"/>
                <w:szCs w:val="20"/>
                <w:lang w:val="en-US" w:eastAsia="pl-PL"/>
              </w:rPr>
              <w:t xml:space="preserve">  </w:t>
            </w:r>
            <w:r w:rsidRPr="00F55B9B">
              <w:rPr>
                <w:b/>
                <w:i/>
                <w:sz w:val="20"/>
                <w:szCs w:val="20"/>
                <w:lang w:val="en-US" w:eastAsia="pl-PL"/>
              </w:rPr>
              <w:t xml:space="preserve">Classes - </w:t>
            </w:r>
            <w:r w:rsidRPr="00F55B9B">
              <w:rPr>
                <w:bCs/>
                <w:sz w:val="18"/>
                <w:szCs w:val="18"/>
                <w:lang w:val="en-US"/>
              </w:rPr>
              <w:t>The table of content</w:t>
            </w:r>
          </w:p>
          <w:p w:rsidR="00F55B9B" w:rsidRPr="00B32303" w:rsidRDefault="00F55B9B" w:rsidP="00F55B9B">
            <w:pPr>
              <w:pStyle w:val="Tekstpodstawowywcity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  <w:lang w:val="en-US"/>
              </w:rPr>
            </w:pPr>
          </w:p>
          <w:p w:rsidR="00925C13" w:rsidRDefault="00925C13" w:rsidP="00F55B9B">
            <w:pPr>
              <w:pStyle w:val="Tekstpodstawowywcity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/>
                <w:bCs/>
                <w:lang w:val="en-US"/>
              </w:rPr>
            </w:pPr>
          </w:p>
          <w:p w:rsidR="00925C13" w:rsidRDefault="00925C13" w:rsidP="00F55B9B">
            <w:pPr>
              <w:pStyle w:val="Tekstpodstawowywcity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/>
                <w:bCs/>
                <w:lang w:val="en-US"/>
              </w:rPr>
            </w:pPr>
          </w:p>
          <w:p w:rsidR="00925C13" w:rsidRDefault="00925C13" w:rsidP="00F55B9B">
            <w:pPr>
              <w:pStyle w:val="Tekstpodstawowywcity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/>
                <w:bCs/>
                <w:lang w:val="en-US"/>
              </w:rPr>
            </w:pPr>
          </w:p>
          <w:p w:rsidR="00F55B9B" w:rsidRPr="00912B62" w:rsidRDefault="00F55B9B" w:rsidP="00F55B9B">
            <w:pPr>
              <w:pStyle w:val="Tekstpodstawowywcity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/>
                <w:bCs/>
                <w:lang w:val="en-US"/>
              </w:rPr>
            </w:pPr>
            <w:r w:rsidRPr="00912B62">
              <w:rPr>
                <w:rFonts w:ascii="Cambria" w:hAnsi="Cambria"/>
                <w:b/>
                <w:bCs/>
                <w:lang w:val="en-US"/>
              </w:rPr>
              <w:lastRenderedPageBreak/>
              <w:t>WINTER SEMESTER</w:t>
            </w:r>
          </w:p>
          <w:p w:rsidR="00F55B9B" w:rsidRPr="007B7A61" w:rsidRDefault="00F55B9B" w:rsidP="00F55B9B">
            <w:pPr>
              <w:pStyle w:val="Tekstpodstawowywcity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Cs/>
                <w:color w:val="000000" w:themeColor="text1"/>
                <w:sz w:val="22"/>
                <w:lang w:val="en-US"/>
              </w:rPr>
            </w:pPr>
          </w:p>
          <w:p w:rsidR="00F55B9B" w:rsidRPr="007B7A61" w:rsidRDefault="00F55B9B" w:rsidP="00F55B9B">
            <w:pPr>
              <w:numPr>
                <w:ilvl w:val="1"/>
                <w:numId w:val="4"/>
              </w:numPr>
              <w:tabs>
                <w:tab w:val="clear" w:pos="1440"/>
                <w:tab w:val="left" w:pos="426"/>
                <w:tab w:val="num" w:pos="1494"/>
              </w:tabs>
              <w:overflowPunct w:val="0"/>
              <w:autoSpaceDE w:val="0"/>
              <w:autoSpaceDN w:val="0"/>
              <w:adjustRightInd w:val="0"/>
              <w:ind w:left="1494"/>
              <w:jc w:val="both"/>
              <w:rPr>
                <w:rFonts w:ascii="Cambria" w:hAnsi="Cambria"/>
                <w:bCs/>
                <w:color w:val="000000" w:themeColor="text1"/>
                <w:lang w:val="en-US" w:eastAsia="x-none"/>
              </w:rPr>
            </w:pPr>
            <w:r w:rsidRPr="007B7A61">
              <w:rPr>
                <w:rFonts w:ascii="Cambria" w:hAnsi="Cambria"/>
                <w:b/>
                <w:bCs/>
                <w:color w:val="000000" w:themeColor="text1"/>
                <w:lang w:val="en-US" w:eastAsia="x-none"/>
              </w:rPr>
              <w:t>Lecture 1</w:t>
            </w:r>
            <w:r w:rsidRPr="007B7A61">
              <w:rPr>
                <w:rFonts w:ascii="Cambria" w:hAnsi="Cambria"/>
                <w:bCs/>
                <w:color w:val="000000" w:themeColor="text1"/>
                <w:lang w:val="en-US" w:eastAsia="x-none"/>
              </w:rPr>
              <w:t xml:space="preserve"> – </w:t>
            </w:r>
            <w:r w:rsidR="002C3760" w:rsidRPr="007B7A61">
              <w:rPr>
                <w:rFonts w:ascii="Cambria" w:hAnsi="Cambria"/>
                <w:bCs/>
                <w:color w:val="000000" w:themeColor="text1"/>
                <w:lang w:val="en-US" w:eastAsia="x-none"/>
              </w:rPr>
              <w:t xml:space="preserve">welcoming lecture and </w:t>
            </w:r>
            <w:r w:rsidR="00944234" w:rsidRPr="007B7A61">
              <w:rPr>
                <w:rFonts w:ascii="Cambria" w:hAnsi="Cambria"/>
                <w:bCs/>
                <w:color w:val="000000" w:themeColor="text1"/>
                <w:lang w:val="en-US" w:eastAsia="x-none"/>
              </w:rPr>
              <w:t xml:space="preserve">main topic: </w:t>
            </w:r>
            <w:r w:rsidRPr="007B7A61">
              <w:rPr>
                <w:rFonts w:ascii="Cambria" w:hAnsi="Cambria"/>
                <w:bCs/>
                <w:color w:val="000000" w:themeColor="text1"/>
                <w:lang w:val="en-US" w:eastAsia="x-none"/>
              </w:rPr>
              <w:t>cellular responses, injur</w:t>
            </w:r>
            <w:r w:rsidR="002C3760" w:rsidRPr="007B7A61">
              <w:rPr>
                <w:rFonts w:ascii="Cambria" w:hAnsi="Cambria"/>
                <w:bCs/>
                <w:color w:val="000000" w:themeColor="text1"/>
                <w:lang w:val="en-US" w:eastAsia="x-none"/>
              </w:rPr>
              <w:t xml:space="preserve">y, adaptation and death – 4h  </w:t>
            </w:r>
          </w:p>
          <w:p w:rsidR="00F55B9B" w:rsidRPr="007B7A61" w:rsidRDefault="00F55B9B" w:rsidP="00F55B9B">
            <w:pPr>
              <w:numPr>
                <w:ilvl w:val="1"/>
                <w:numId w:val="4"/>
              </w:numPr>
              <w:tabs>
                <w:tab w:val="clear" w:pos="1440"/>
                <w:tab w:val="left" w:pos="426"/>
                <w:tab w:val="num" w:pos="1494"/>
              </w:tabs>
              <w:overflowPunct w:val="0"/>
              <w:autoSpaceDE w:val="0"/>
              <w:autoSpaceDN w:val="0"/>
              <w:adjustRightInd w:val="0"/>
              <w:ind w:left="1494"/>
              <w:jc w:val="both"/>
              <w:rPr>
                <w:rFonts w:ascii="Cambria" w:hAnsi="Cambria"/>
                <w:bCs/>
                <w:color w:val="000000" w:themeColor="text1"/>
                <w:lang w:val="en-US" w:eastAsia="x-none"/>
              </w:rPr>
            </w:pPr>
            <w:r w:rsidRPr="007B7A61">
              <w:rPr>
                <w:rFonts w:ascii="Cambria" w:hAnsi="Cambria"/>
                <w:b/>
                <w:bCs/>
                <w:color w:val="000000" w:themeColor="text1"/>
                <w:lang w:val="en-US" w:eastAsia="x-none"/>
              </w:rPr>
              <w:t>Lecture 2</w:t>
            </w:r>
            <w:r w:rsidRPr="007B7A61">
              <w:rPr>
                <w:rFonts w:ascii="Cambria" w:hAnsi="Cambria"/>
                <w:bCs/>
                <w:color w:val="000000" w:themeColor="text1"/>
                <w:lang w:val="en-US" w:eastAsia="x-none"/>
              </w:rPr>
              <w:t xml:space="preserve"> – Inf</w:t>
            </w:r>
            <w:r w:rsidR="00925C13" w:rsidRPr="007B7A61">
              <w:rPr>
                <w:rFonts w:ascii="Cambria" w:hAnsi="Cambria"/>
                <w:bCs/>
                <w:color w:val="000000" w:themeColor="text1"/>
                <w:lang w:val="en-US" w:eastAsia="x-none"/>
              </w:rPr>
              <w:t>lammation and</w:t>
            </w:r>
            <w:r w:rsidR="002C3760" w:rsidRPr="007B7A61">
              <w:rPr>
                <w:rFonts w:ascii="Cambria" w:hAnsi="Cambria"/>
                <w:bCs/>
                <w:color w:val="000000" w:themeColor="text1"/>
                <w:lang w:val="en-US" w:eastAsia="x-none"/>
              </w:rPr>
              <w:t xml:space="preserve"> wound healing – 4h </w:t>
            </w:r>
          </w:p>
          <w:p w:rsidR="00F55B9B" w:rsidRPr="007B7A61" w:rsidRDefault="002C3760" w:rsidP="00F55B9B">
            <w:pPr>
              <w:numPr>
                <w:ilvl w:val="1"/>
                <w:numId w:val="4"/>
              </w:numPr>
              <w:tabs>
                <w:tab w:val="clear" w:pos="1440"/>
                <w:tab w:val="left" w:pos="426"/>
                <w:tab w:val="num" w:pos="1494"/>
              </w:tabs>
              <w:overflowPunct w:val="0"/>
              <w:autoSpaceDE w:val="0"/>
              <w:autoSpaceDN w:val="0"/>
              <w:adjustRightInd w:val="0"/>
              <w:ind w:left="1494"/>
              <w:jc w:val="both"/>
              <w:rPr>
                <w:rFonts w:ascii="Cambria" w:hAnsi="Cambria"/>
                <w:bCs/>
                <w:color w:val="000000" w:themeColor="text1"/>
                <w:lang w:eastAsia="x-none"/>
              </w:rPr>
            </w:pPr>
            <w:r w:rsidRPr="007B7A61">
              <w:rPr>
                <w:rFonts w:ascii="Cambria" w:hAnsi="Cambria"/>
                <w:bCs/>
                <w:color w:val="000000" w:themeColor="text1"/>
                <w:lang w:eastAsia="x-none"/>
              </w:rPr>
              <w:t xml:space="preserve">Class 1 – </w:t>
            </w:r>
            <w:proofErr w:type="spellStart"/>
            <w:r w:rsidRPr="007B7A61">
              <w:rPr>
                <w:rFonts w:ascii="Cambria" w:hAnsi="Cambria"/>
                <w:bCs/>
                <w:color w:val="000000" w:themeColor="text1"/>
                <w:lang w:eastAsia="x-none"/>
              </w:rPr>
              <w:t>inflammation</w:t>
            </w:r>
            <w:proofErr w:type="spellEnd"/>
            <w:r w:rsidRPr="007B7A61">
              <w:rPr>
                <w:rFonts w:ascii="Cambria" w:hAnsi="Cambria"/>
                <w:bCs/>
                <w:color w:val="000000" w:themeColor="text1"/>
                <w:lang w:eastAsia="x-none"/>
              </w:rPr>
              <w:t xml:space="preserve"> 4h </w:t>
            </w:r>
          </w:p>
          <w:p w:rsidR="00F55B9B" w:rsidRPr="007B7A61" w:rsidRDefault="00F55B9B" w:rsidP="00F55B9B">
            <w:pPr>
              <w:numPr>
                <w:ilvl w:val="1"/>
                <w:numId w:val="4"/>
              </w:numPr>
              <w:tabs>
                <w:tab w:val="clear" w:pos="1440"/>
                <w:tab w:val="left" w:pos="426"/>
                <w:tab w:val="num" w:pos="1494"/>
              </w:tabs>
              <w:overflowPunct w:val="0"/>
              <w:autoSpaceDE w:val="0"/>
              <w:autoSpaceDN w:val="0"/>
              <w:adjustRightInd w:val="0"/>
              <w:ind w:left="1494"/>
              <w:jc w:val="both"/>
              <w:rPr>
                <w:rFonts w:ascii="Cambria" w:hAnsi="Cambria"/>
                <w:bCs/>
                <w:color w:val="000000" w:themeColor="text1"/>
                <w:lang w:val="en-US" w:eastAsia="x-none"/>
              </w:rPr>
            </w:pPr>
            <w:r w:rsidRPr="007B7A61">
              <w:rPr>
                <w:rFonts w:ascii="Cambria" w:hAnsi="Cambria"/>
                <w:bCs/>
                <w:color w:val="000000" w:themeColor="text1"/>
                <w:lang w:val="en-US" w:eastAsia="x-none"/>
              </w:rPr>
              <w:t xml:space="preserve">Class 2 – hemodynamic disorder, thromboembolic disease and shock – 4h – </w:t>
            </w:r>
          </w:p>
          <w:p w:rsidR="00F55B9B" w:rsidRPr="007B7A61" w:rsidRDefault="00F55B9B" w:rsidP="00F55B9B">
            <w:pPr>
              <w:numPr>
                <w:ilvl w:val="1"/>
                <w:numId w:val="4"/>
              </w:numPr>
              <w:tabs>
                <w:tab w:val="clear" w:pos="1440"/>
                <w:tab w:val="left" w:pos="426"/>
                <w:tab w:val="num" w:pos="1494"/>
              </w:tabs>
              <w:overflowPunct w:val="0"/>
              <w:autoSpaceDE w:val="0"/>
              <w:autoSpaceDN w:val="0"/>
              <w:adjustRightInd w:val="0"/>
              <w:ind w:left="1494"/>
              <w:jc w:val="both"/>
              <w:rPr>
                <w:rFonts w:ascii="Cambria" w:hAnsi="Cambria"/>
                <w:bCs/>
                <w:color w:val="000000" w:themeColor="text1"/>
                <w:lang w:eastAsia="x-none"/>
              </w:rPr>
            </w:pPr>
            <w:proofErr w:type="spellStart"/>
            <w:r w:rsidRPr="007B7A61">
              <w:rPr>
                <w:rFonts w:ascii="Cambria" w:hAnsi="Cambria"/>
                <w:b/>
                <w:bCs/>
                <w:color w:val="000000" w:themeColor="text1"/>
                <w:lang w:eastAsia="x-none"/>
              </w:rPr>
              <w:t>Lecture</w:t>
            </w:r>
            <w:proofErr w:type="spellEnd"/>
            <w:r w:rsidRPr="007B7A61">
              <w:rPr>
                <w:rFonts w:ascii="Cambria" w:hAnsi="Cambria"/>
                <w:b/>
                <w:bCs/>
                <w:color w:val="000000" w:themeColor="text1"/>
                <w:lang w:eastAsia="x-none"/>
              </w:rPr>
              <w:t xml:space="preserve"> 3</w:t>
            </w:r>
            <w:r w:rsidRPr="007B7A61">
              <w:rPr>
                <w:rFonts w:ascii="Cambria" w:hAnsi="Cambria"/>
                <w:bCs/>
                <w:color w:val="000000" w:themeColor="text1"/>
                <w:lang w:eastAsia="x-none"/>
              </w:rPr>
              <w:t xml:space="preserve"> – </w:t>
            </w:r>
            <w:proofErr w:type="spellStart"/>
            <w:r w:rsidRPr="007B7A61">
              <w:rPr>
                <w:rFonts w:ascii="Cambria" w:hAnsi="Cambria"/>
                <w:bCs/>
                <w:color w:val="000000" w:themeColor="text1"/>
                <w:lang w:eastAsia="x-none"/>
              </w:rPr>
              <w:t>genetic</w:t>
            </w:r>
            <w:proofErr w:type="spellEnd"/>
            <w:r w:rsidRPr="007B7A61">
              <w:rPr>
                <w:rFonts w:ascii="Cambria" w:hAnsi="Cambria"/>
                <w:bCs/>
                <w:color w:val="000000" w:themeColor="text1"/>
                <w:lang w:eastAsia="x-none"/>
              </w:rPr>
              <w:t xml:space="preserve"> </w:t>
            </w:r>
            <w:proofErr w:type="spellStart"/>
            <w:r w:rsidRPr="007B7A61">
              <w:rPr>
                <w:rFonts w:ascii="Cambria" w:hAnsi="Cambria"/>
                <w:bCs/>
                <w:color w:val="000000" w:themeColor="text1"/>
                <w:lang w:eastAsia="x-none"/>
              </w:rPr>
              <w:t>disorders</w:t>
            </w:r>
            <w:proofErr w:type="spellEnd"/>
            <w:r w:rsidRPr="007B7A61">
              <w:rPr>
                <w:rFonts w:ascii="Cambria" w:hAnsi="Cambria"/>
                <w:bCs/>
                <w:color w:val="000000" w:themeColor="text1"/>
                <w:lang w:eastAsia="x-none"/>
              </w:rPr>
              <w:t xml:space="preserve"> -4h </w:t>
            </w:r>
          </w:p>
          <w:p w:rsidR="00F55B9B" w:rsidRPr="007B7A61" w:rsidRDefault="00F55B9B" w:rsidP="00F55B9B">
            <w:pPr>
              <w:numPr>
                <w:ilvl w:val="1"/>
                <w:numId w:val="4"/>
              </w:numPr>
              <w:tabs>
                <w:tab w:val="clear" w:pos="1440"/>
                <w:tab w:val="left" w:pos="426"/>
                <w:tab w:val="num" w:pos="1494"/>
              </w:tabs>
              <w:overflowPunct w:val="0"/>
              <w:autoSpaceDE w:val="0"/>
              <w:autoSpaceDN w:val="0"/>
              <w:adjustRightInd w:val="0"/>
              <w:ind w:left="1494"/>
              <w:jc w:val="both"/>
              <w:rPr>
                <w:rFonts w:ascii="Cambria" w:hAnsi="Cambria"/>
                <w:bCs/>
                <w:color w:val="000000" w:themeColor="text1"/>
                <w:lang w:val="en-US" w:eastAsia="x-none"/>
              </w:rPr>
            </w:pPr>
            <w:r w:rsidRPr="007B7A61">
              <w:rPr>
                <w:rFonts w:ascii="Cambria" w:hAnsi="Cambria"/>
                <w:bCs/>
                <w:color w:val="000000" w:themeColor="text1"/>
                <w:lang w:val="en-US" w:eastAsia="x-none"/>
              </w:rPr>
              <w:t xml:space="preserve">Class 3 – diseases of immune system – 4h  </w:t>
            </w:r>
          </w:p>
          <w:p w:rsidR="00F55B9B" w:rsidRPr="007B7A61" w:rsidRDefault="00F55B9B" w:rsidP="00F55B9B">
            <w:pPr>
              <w:numPr>
                <w:ilvl w:val="1"/>
                <w:numId w:val="4"/>
              </w:numPr>
              <w:tabs>
                <w:tab w:val="clear" w:pos="1440"/>
                <w:tab w:val="left" w:pos="426"/>
                <w:tab w:val="num" w:pos="1494"/>
              </w:tabs>
              <w:overflowPunct w:val="0"/>
              <w:autoSpaceDE w:val="0"/>
              <w:autoSpaceDN w:val="0"/>
              <w:adjustRightInd w:val="0"/>
              <w:ind w:left="1494"/>
              <w:jc w:val="both"/>
              <w:rPr>
                <w:rFonts w:ascii="Cambria" w:hAnsi="Cambria"/>
                <w:bCs/>
                <w:color w:val="000000" w:themeColor="text1"/>
                <w:lang w:eastAsia="x-none"/>
              </w:rPr>
            </w:pPr>
            <w:proofErr w:type="spellStart"/>
            <w:r w:rsidRPr="007B7A61">
              <w:rPr>
                <w:rFonts w:ascii="Cambria" w:hAnsi="Cambria"/>
                <w:b/>
                <w:bCs/>
                <w:color w:val="000000" w:themeColor="text1"/>
                <w:lang w:eastAsia="x-none"/>
              </w:rPr>
              <w:t>Lecture</w:t>
            </w:r>
            <w:proofErr w:type="spellEnd"/>
            <w:r w:rsidRPr="007B7A61">
              <w:rPr>
                <w:rFonts w:ascii="Cambria" w:hAnsi="Cambria"/>
                <w:b/>
                <w:bCs/>
                <w:color w:val="000000" w:themeColor="text1"/>
                <w:lang w:eastAsia="x-none"/>
              </w:rPr>
              <w:t xml:space="preserve"> 4</w:t>
            </w:r>
            <w:r w:rsidR="00A30447" w:rsidRPr="007B7A61">
              <w:rPr>
                <w:rFonts w:ascii="Cambria" w:hAnsi="Cambria"/>
                <w:bCs/>
                <w:color w:val="000000" w:themeColor="text1"/>
                <w:lang w:eastAsia="x-none"/>
              </w:rPr>
              <w:t xml:space="preserve"> – </w:t>
            </w:r>
            <w:proofErr w:type="spellStart"/>
            <w:r w:rsidR="00A30447" w:rsidRPr="007B7A61">
              <w:rPr>
                <w:rFonts w:ascii="Cambria" w:hAnsi="Cambria"/>
                <w:bCs/>
                <w:color w:val="000000" w:themeColor="text1"/>
                <w:lang w:eastAsia="x-none"/>
              </w:rPr>
              <w:t>neoplasia</w:t>
            </w:r>
            <w:proofErr w:type="spellEnd"/>
            <w:r w:rsidR="00A30447" w:rsidRPr="007B7A61">
              <w:rPr>
                <w:rFonts w:ascii="Cambria" w:hAnsi="Cambria"/>
                <w:bCs/>
                <w:color w:val="000000" w:themeColor="text1"/>
                <w:lang w:eastAsia="x-none"/>
              </w:rPr>
              <w:t xml:space="preserve"> – 4h </w:t>
            </w:r>
            <w:r w:rsidRPr="007B7A61">
              <w:rPr>
                <w:rFonts w:ascii="Cambria" w:hAnsi="Cambria"/>
                <w:bCs/>
                <w:color w:val="000000" w:themeColor="text1"/>
                <w:lang w:eastAsia="x-none"/>
              </w:rPr>
              <w:t xml:space="preserve"> </w:t>
            </w:r>
          </w:p>
          <w:p w:rsidR="002C3760" w:rsidRPr="007B7A61" w:rsidRDefault="00F55B9B" w:rsidP="00F55B9B">
            <w:pPr>
              <w:numPr>
                <w:ilvl w:val="1"/>
                <w:numId w:val="4"/>
              </w:numPr>
              <w:tabs>
                <w:tab w:val="clear" w:pos="1440"/>
                <w:tab w:val="left" w:pos="426"/>
                <w:tab w:val="num" w:pos="1494"/>
              </w:tabs>
              <w:overflowPunct w:val="0"/>
              <w:autoSpaceDE w:val="0"/>
              <w:autoSpaceDN w:val="0"/>
              <w:adjustRightInd w:val="0"/>
              <w:ind w:left="1494"/>
              <w:jc w:val="both"/>
              <w:rPr>
                <w:rFonts w:ascii="Cambria" w:hAnsi="Cambria"/>
                <w:bCs/>
                <w:color w:val="000000" w:themeColor="text1"/>
                <w:lang w:val="en-US" w:eastAsia="x-none"/>
              </w:rPr>
            </w:pPr>
            <w:r w:rsidRPr="007B7A61">
              <w:rPr>
                <w:rFonts w:ascii="Cambria" w:hAnsi="Cambria"/>
                <w:b/>
                <w:bCs/>
                <w:color w:val="000000" w:themeColor="text1"/>
                <w:lang w:val="en-US" w:eastAsia="x-none"/>
              </w:rPr>
              <w:t>Lecture 5</w:t>
            </w:r>
            <w:r w:rsidRPr="007B7A61">
              <w:rPr>
                <w:rFonts w:ascii="Cambria" w:hAnsi="Cambria"/>
                <w:bCs/>
                <w:color w:val="000000" w:themeColor="text1"/>
                <w:lang w:val="en-US" w:eastAsia="x-none"/>
              </w:rPr>
              <w:t xml:space="preserve"> – neoplasia part II – 4h </w:t>
            </w:r>
          </w:p>
          <w:p w:rsidR="00F55B9B" w:rsidRPr="00837711" w:rsidRDefault="00F55B9B" w:rsidP="00F55B9B">
            <w:pPr>
              <w:numPr>
                <w:ilvl w:val="1"/>
                <w:numId w:val="4"/>
              </w:numPr>
              <w:tabs>
                <w:tab w:val="clear" w:pos="1440"/>
                <w:tab w:val="left" w:pos="426"/>
                <w:tab w:val="num" w:pos="1494"/>
              </w:tabs>
              <w:overflowPunct w:val="0"/>
              <w:autoSpaceDE w:val="0"/>
              <w:autoSpaceDN w:val="0"/>
              <w:adjustRightInd w:val="0"/>
              <w:ind w:left="1494"/>
              <w:jc w:val="both"/>
              <w:rPr>
                <w:rFonts w:ascii="Cambria" w:hAnsi="Cambria"/>
                <w:bCs/>
                <w:color w:val="262626" w:themeColor="text1" w:themeTint="D9"/>
                <w:lang w:eastAsia="x-none"/>
              </w:rPr>
            </w:pPr>
            <w:r w:rsidRPr="007B7A61">
              <w:rPr>
                <w:rFonts w:ascii="Cambria" w:hAnsi="Cambria"/>
                <w:bCs/>
                <w:color w:val="000000" w:themeColor="text1"/>
                <w:lang w:eastAsia="x-none"/>
              </w:rPr>
              <w:t>Cl</w:t>
            </w:r>
            <w:r w:rsidR="00925C13" w:rsidRPr="007B7A61">
              <w:rPr>
                <w:rFonts w:ascii="Cambria" w:hAnsi="Cambria"/>
                <w:bCs/>
                <w:color w:val="000000" w:themeColor="text1"/>
                <w:lang w:eastAsia="x-none"/>
              </w:rPr>
              <w:t xml:space="preserve">ass </w:t>
            </w:r>
            <w:r w:rsidR="00925C13" w:rsidRPr="00837711">
              <w:rPr>
                <w:rFonts w:ascii="Cambria" w:hAnsi="Cambria"/>
                <w:bCs/>
                <w:color w:val="262626" w:themeColor="text1" w:themeTint="D9"/>
                <w:lang w:eastAsia="x-none"/>
              </w:rPr>
              <w:t>4</w:t>
            </w:r>
            <w:r w:rsidR="002854EA" w:rsidRPr="00837711">
              <w:rPr>
                <w:rFonts w:ascii="Cambria" w:hAnsi="Cambria"/>
                <w:bCs/>
                <w:color w:val="262626" w:themeColor="text1" w:themeTint="D9"/>
                <w:lang w:eastAsia="x-none"/>
              </w:rPr>
              <w:t xml:space="preserve"> – </w:t>
            </w:r>
            <w:proofErr w:type="spellStart"/>
            <w:r w:rsidR="002854EA" w:rsidRPr="00837711">
              <w:rPr>
                <w:rFonts w:ascii="Cambria" w:hAnsi="Cambria"/>
                <w:bCs/>
                <w:color w:val="262626" w:themeColor="text1" w:themeTint="D9"/>
                <w:lang w:eastAsia="x-none"/>
              </w:rPr>
              <w:t>infectious</w:t>
            </w:r>
            <w:proofErr w:type="spellEnd"/>
            <w:r w:rsidR="002854EA" w:rsidRPr="00837711">
              <w:rPr>
                <w:rFonts w:ascii="Cambria" w:hAnsi="Cambria"/>
                <w:bCs/>
                <w:color w:val="262626" w:themeColor="text1" w:themeTint="D9"/>
                <w:lang w:eastAsia="x-none"/>
              </w:rPr>
              <w:t xml:space="preserve"> </w:t>
            </w:r>
            <w:proofErr w:type="spellStart"/>
            <w:r w:rsidR="002854EA" w:rsidRPr="00837711">
              <w:rPr>
                <w:rFonts w:ascii="Cambria" w:hAnsi="Cambria"/>
                <w:bCs/>
                <w:color w:val="262626" w:themeColor="text1" w:themeTint="D9"/>
                <w:lang w:eastAsia="x-none"/>
              </w:rPr>
              <w:t>disease</w:t>
            </w:r>
            <w:proofErr w:type="spellEnd"/>
            <w:r w:rsidR="002854EA" w:rsidRPr="00837711">
              <w:rPr>
                <w:rFonts w:ascii="Cambria" w:hAnsi="Cambria"/>
                <w:bCs/>
                <w:color w:val="262626" w:themeColor="text1" w:themeTint="D9"/>
                <w:lang w:eastAsia="x-none"/>
              </w:rPr>
              <w:t xml:space="preserve"> – 4</w:t>
            </w:r>
            <w:r w:rsidR="002C3760" w:rsidRPr="00837711">
              <w:rPr>
                <w:rFonts w:ascii="Cambria" w:hAnsi="Cambria"/>
                <w:bCs/>
                <w:color w:val="262626" w:themeColor="text1" w:themeTint="D9"/>
                <w:lang w:eastAsia="x-none"/>
              </w:rPr>
              <w:t>h</w:t>
            </w:r>
          </w:p>
          <w:p w:rsidR="00F55B9B" w:rsidRPr="00837711" w:rsidRDefault="00925C13" w:rsidP="00F55B9B">
            <w:pPr>
              <w:numPr>
                <w:ilvl w:val="1"/>
                <w:numId w:val="4"/>
              </w:numPr>
              <w:tabs>
                <w:tab w:val="clear" w:pos="1440"/>
                <w:tab w:val="left" w:pos="426"/>
                <w:tab w:val="num" w:pos="1494"/>
              </w:tabs>
              <w:overflowPunct w:val="0"/>
              <w:autoSpaceDE w:val="0"/>
              <w:autoSpaceDN w:val="0"/>
              <w:adjustRightInd w:val="0"/>
              <w:ind w:left="1494"/>
              <w:jc w:val="both"/>
              <w:rPr>
                <w:rFonts w:ascii="Cambria" w:hAnsi="Cambria"/>
                <w:bCs/>
                <w:color w:val="262626" w:themeColor="text1" w:themeTint="D9"/>
                <w:lang w:eastAsia="x-none"/>
              </w:rPr>
            </w:pPr>
            <w:r w:rsidRPr="00837711">
              <w:rPr>
                <w:rFonts w:ascii="Cambria" w:hAnsi="Cambria"/>
                <w:bCs/>
                <w:color w:val="262626" w:themeColor="text1" w:themeTint="D9"/>
                <w:lang w:eastAsia="x-none"/>
              </w:rPr>
              <w:t>Class 5</w:t>
            </w:r>
            <w:r w:rsidR="002854EA" w:rsidRPr="00837711">
              <w:rPr>
                <w:rFonts w:ascii="Cambria" w:hAnsi="Cambria"/>
                <w:bCs/>
                <w:color w:val="262626" w:themeColor="text1" w:themeTint="D9"/>
                <w:lang w:eastAsia="x-none"/>
              </w:rPr>
              <w:t xml:space="preserve"> – </w:t>
            </w:r>
            <w:proofErr w:type="spellStart"/>
            <w:r w:rsidR="002854EA" w:rsidRPr="00837711">
              <w:rPr>
                <w:rFonts w:ascii="Cambria" w:hAnsi="Cambria"/>
                <w:bCs/>
                <w:color w:val="262626" w:themeColor="text1" w:themeTint="D9"/>
                <w:lang w:eastAsia="x-none"/>
              </w:rPr>
              <w:t>blood</w:t>
            </w:r>
            <w:proofErr w:type="spellEnd"/>
            <w:r w:rsidR="002854EA" w:rsidRPr="00837711">
              <w:rPr>
                <w:rFonts w:ascii="Cambria" w:hAnsi="Cambria"/>
                <w:bCs/>
                <w:color w:val="262626" w:themeColor="text1" w:themeTint="D9"/>
                <w:lang w:eastAsia="x-none"/>
              </w:rPr>
              <w:t xml:space="preserve"> </w:t>
            </w:r>
            <w:proofErr w:type="spellStart"/>
            <w:r w:rsidR="002854EA" w:rsidRPr="00837711">
              <w:rPr>
                <w:rFonts w:ascii="Cambria" w:hAnsi="Cambria"/>
                <w:bCs/>
                <w:color w:val="262626" w:themeColor="text1" w:themeTint="D9"/>
                <w:lang w:eastAsia="x-none"/>
              </w:rPr>
              <w:t>vessels</w:t>
            </w:r>
            <w:proofErr w:type="spellEnd"/>
            <w:r w:rsidR="002854EA" w:rsidRPr="00837711">
              <w:rPr>
                <w:rFonts w:ascii="Cambria" w:hAnsi="Cambria"/>
                <w:bCs/>
                <w:color w:val="262626" w:themeColor="text1" w:themeTint="D9"/>
                <w:lang w:eastAsia="x-none"/>
              </w:rPr>
              <w:t xml:space="preserve"> – 4</w:t>
            </w:r>
            <w:r w:rsidR="002C3760" w:rsidRPr="00837711">
              <w:rPr>
                <w:rFonts w:ascii="Cambria" w:hAnsi="Cambria"/>
                <w:bCs/>
                <w:color w:val="262626" w:themeColor="text1" w:themeTint="D9"/>
                <w:lang w:eastAsia="x-none"/>
              </w:rPr>
              <w:t>h</w:t>
            </w:r>
            <w:r w:rsidR="00F55B9B" w:rsidRPr="00837711">
              <w:rPr>
                <w:rFonts w:ascii="Cambria" w:hAnsi="Cambria"/>
                <w:bCs/>
                <w:color w:val="262626" w:themeColor="text1" w:themeTint="D9"/>
                <w:lang w:eastAsia="x-none"/>
              </w:rPr>
              <w:t xml:space="preserve"> </w:t>
            </w:r>
          </w:p>
          <w:p w:rsidR="00F55B9B" w:rsidRPr="00837711" w:rsidRDefault="00925C13" w:rsidP="00F55B9B">
            <w:pPr>
              <w:numPr>
                <w:ilvl w:val="1"/>
                <w:numId w:val="4"/>
              </w:numPr>
              <w:tabs>
                <w:tab w:val="clear" w:pos="1440"/>
                <w:tab w:val="left" w:pos="426"/>
                <w:tab w:val="num" w:pos="1494"/>
              </w:tabs>
              <w:overflowPunct w:val="0"/>
              <w:autoSpaceDE w:val="0"/>
              <w:autoSpaceDN w:val="0"/>
              <w:adjustRightInd w:val="0"/>
              <w:ind w:left="1494"/>
              <w:jc w:val="both"/>
              <w:rPr>
                <w:rFonts w:ascii="Cambria" w:hAnsi="Cambria"/>
                <w:b/>
                <w:color w:val="262626" w:themeColor="text1" w:themeTint="D9"/>
                <w:u w:val="single"/>
                <w:lang w:val="en-US" w:eastAsia="x-none"/>
              </w:rPr>
            </w:pPr>
            <w:r w:rsidRPr="00837711">
              <w:rPr>
                <w:rFonts w:ascii="Cambria" w:hAnsi="Cambria"/>
                <w:b/>
                <w:color w:val="262626" w:themeColor="text1" w:themeTint="D9"/>
                <w:u w:val="single"/>
                <w:lang w:val="en-US" w:eastAsia="x-none"/>
              </w:rPr>
              <w:t>Class 6– 1-st test classes 1-5</w:t>
            </w:r>
            <w:r w:rsidR="00F55B9B" w:rsidRPr="00837711">
              <w:rPr>
                <w:rFonts w:ascii="Cambria" w:hAnsi="Cambria"/>
                <w:b/>
                <w:color w:val="262626" w:themeColor="text1" w:themeTint="D9"/>
                <w:u w:val="single"/>
                <w:lang w:val="en-US" w:eastAsia="x-none"/>
              </w:rPr>
              <w:t xml:space="preserve"> – 2h </w:t>
            </w:r>
          </w:p>
          <w:p w:rsidR="00F55B9B" w:rsidRPr="00837711" w:rsidRDefault="00925C13" w:rsidP="00F55B9B">
            <w:pPr>
              <w:numPr>
                <w:ilvl w:val="1"/>
                <w:numId w:val="4"/>
              </w:numPr>
              <w:tabs>
                <w:tab w:val="clear" w:pos="1440"/>
                <w:tab w:val="left" w:pos="426"/>
                <w:tab w:val="num" w:pos="1494"/>
              </w:tabs>
              <w:overflowPunct w:val="0"/>
              <w:autoSpaceDE w:val="0"/>
              <w:autoSpaceDN w:val="0"/>
              <w:adjustRightInd w:val="0"/>
              <w:ind w:left="1494"/>
              <w:jc w:val="both"/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</w:pPr>
            <w:r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>Class 7</w:t>
            </w:r>
            <w:r w:rsidR="00F55B9B"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 xml:space="preserve"> - CNS – 4h </w:t>
            </w:r>
            <w:r w:rsidR="002C3760"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>and 1h e-learning</w:t>
            </w:r>
          </w:p>
          <w:p w:rsidR="00F55B9B" w:rsidRPr="00837711" w:rsidRDefault="00F55B9B" w:rsidP="00F55B9B">
            <w:pPr>
              <w:numPr>
                <w:ilvl w:val="1"/>
                <w:numId w:val="4"/>
              </w:numPr>
              <w:tabs>
                <w:tab w:val="clear" w:pos="1440"/>
                <w:tab w:val="left" w:pos="426"/>
                <w:tab w:val="num" w:pos="1494"/>
              </w:tabs>
              <w:overflowPunct w:val="0"/>
              <w:autoSpaceDE w:val="0"/>
              <w:autoSpaceDN w:val="0"/>
              <w:adjustRightInd w:val="0"/>
              <w:ind w:left="1494"/>
              <w:jc w:val="both"/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</w:pPr>
            <w:r w:rsidRPr="00837711">
              <w:rPr>
                <w:rFonts w:ascii="Cambria" w:hAnsi="Cambria"/>
                <w:b/>
                <w:bCs/>
                <w:color w:val="262626" w:themeColor="text1" w:themeTint="D9"/>
                <w:lang w:val="en-US" w:eastAsia="x-none"/>
              </w:rPr>
              <w:t>Lecture 6</w:t>
            </w:r>
            <w:r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 xml:space="preserve"> – environmental</w:t>
            </w:r>
            <w:r w:rsidR="002C3760"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 xml:space="preserve"> and nutritional disease – 3h </w:t>
            </w:r>
          </w:p>
          <w:p w:rsidR="00F55B9B" w:rsidRPr="00837711" w:rsidRDefault="00925C13" w:rsidP="00F55B9B">
            <w:pPr>
              <w:numPr>
                <w:ilvl w:val="1"/>
                <w:numId w:val="4"/>
              </w:numPr>
              <w:tabs>
                <w:tab w:val="clear" w:pos="1440"/>
                <w:tab w:val="left" w:pos="426"/>
                <w:tab w:val="num" w:pos="1494"/>
              </w:tabs>
              <w:overflowPunct w:val="0"/>
              <w:autoSpaceDE w:val="0"/>
              <w:autoSpaceDN w:val="0"/>
              <w:adjustRightInd w:val="0"/>
              <w:ind w:left="1494"/>
              <w:jc w:val="both"/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</w:pPr>
            <w:r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>Class  8</w:t>
            </w:r>
            <w:r w:rsidR="00F55B9B"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 xml:space="preserve">– disease </w:t>
            </w:r>
            <w:r w:rsidR="002C3760"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>of infancy and chil</w:t>
            </w:r>
            <w:r w:rsidR="002854EA"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>dhood – 4</w:t>
            </w:r>
            <w:r w:rsidR="002C3760"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 xml:space="preserve">h </w:t>
            </w:r>
          </w:p>
          <w:p w:rsidR="00F55B9B" w:rsidRPr="00837711" w:rsidRDefault="00925C13" w:rsidP="00F55B9B">
            <w:pPr>
              <w:numPr>
                <w:ilvl w:val="1"/>
                <w:numId w:val="4"/>
              </w:numPr>
              <w:tabs>
                <w:tab w:val="clear" w:pos="1440"/>
                <w:tab w:val="left" w:pos="426"/>
                <w:tab w:val="num" w:pos="1494"/>
              </w:tabs>
              <w:overflowPunct w:val="0"/>
              <w:autoSpaceDE w:val="0"/>
              <w:autoSpaceDN w:val="0"/>
              <w:adjustRightInd w:val="0"/>
              <w:ind w:left="1494"/>
              <w:jc w:val="both"/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</w:pPr>
            <w:r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 xml:space="preserve"> Class 9</w:t>
            </w:r>
            <w:r w:rsidR="00F55B9B"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 xml:space="preserve"> – diseases of lymph nodes, white blo</w:t>
            </w:r>
            <w:r w:rsidR="002854EA"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>od cells, spleen and thymus –  4</w:t>
            </w:r>
            <w:r w:rsidR="00F55B9B"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 xml:space="preserve">h </w:t>
            </w:r>
          </w:p>
          <w:p w:rsidR="00F55B9B" w:rsidRPr="00837711" w:rsidRDefault="00F55B9B" w:rsidP="00F55B9B">
            <w:pPr>
              <w:numPr>
                <w:ilvl w:val="1"/>
                <w:numId w:val="4"/>
              </w:numPr>
              <w:tabs>
                <w:tab w:val="clear" w:pos="1440"/>
                <w:tab w:val="num" w:pos="1494"/>
              </w:tabs>
              <w:ind w:left="1494"/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</w:pPr>
            <w:r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>Class 1</w:t>
            </w:r>
            <w:r w:rsidR="00925C13"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>0</w:t>
            </w:r>
            <w:r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 xml:space="preserve"> – </w:t>
            </w:r>
            <w:r w:rsidR="002854EA"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 xml:space="preserve"> </w:t>
            </w:r>
            <w:r w:rsidR="00925C13"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>autopsy 3h</w:t>
            </w:r>
          </w:p>
          <w:p w:rsidR="00F55B9B" w:rsidRPr="00837711" w:rsidRDefault="00925C13" w:rsidP="00F55B9B">
            <w:pPr>
              <w:numPr>
                <w:ilvl w:val="1"/>
                <w:numId w:val="4"/>
              </w:numPr>
              <w:tabs>
                <w:tab w:val="clear" w:pos="1440"/>
                <w:tab w:val="left" w:pos="426"/>
                <w:tab w:val="num" w:pos="1494"/>
              </w:tabs>
              <w:overflowPunct w:val="0"/>
              <w:autoSpaceDE w:val="0"/>
              <w:autoSpaceDN w:val="0"/>
              <w:adjustRightInd w:val="0"/>
              <w:ind w:left="1494"/>
              <w:jc w:val="both"/>
              <w:rPr>
                <w:rFonts w:ascii="Cambria" w:hAnsi="Cambria"/>
                <w:bCs/>
                <w:color w:val="262626" w:themeColor="text1" w:themeTint="D9"/>
                <w:lang w:eastAsia="x-none"/>
              </w:rPr>
            </w:pPr>
            <w:r w:rsidRPr="00837711">
              <w:rPr>
                <w:rFonts w:ascii="Cambria" w:hAnsi="Cambria"/>
                <w:bCs/>
                <w:color w:val="262626" w:themeColor="text1" w:themeTint="D9"/>
                <w:lang w:eastAsia="x-none"/>
              </w:rPr>
              <w:t>Class 11</w:t>
            </w:r>
            <w:r w:rsidR="002C3760" w:rsidRPr="00837711">
              <w:rPr>
                <w:rFonts w:ascii="Cambria" w:hAnsi="Cambria"/>
                <w:bCs/>
                <w:color w:val="262626" w:themeColor="text1" w:themeTint="D9"/>
                <w:lang w:eastAsia="x-none"/>
              </w:rPr>
              <w:t xml:space="preserve"> – the </w:t>
            </w:r>
            <w:proofErr w:type="spellStart"/>
            <w:r w:rsidR="002C3760" w:rsidRPr="00837711">
              <w:rPr>
                <w:rFonts w:ascii="Cambria" w:hAnsi="Cambria"/>
                <w:bCs/>
                <w:color w:val="262626" w:themeColor="text1" w:themeTint="D9"/>
                <w:lang w:eastAsia="x-none"/>
              </w:rPr>
              <w:t>heart</w:t>
            </w:r>
            <w:proofErr w:type="spellEnd"/>
            <w:r w:rsidR="002C3760" w:rsidRPr="00837711">
              <w:rPr>
                <w:rFonts w:ascii="Cambria" w:hAnsi="Cambria"/>
                <w:bCs/>
                <w:color w:val="262626" w:themeColor="text1" w:themeTint="D9"/>
                <w:lang w:eastAsia="x-none"/>
              </w:rPr>
              <w:t xml:space="preserve"> – 4h </w:t>
            </w:r>
          </w:p>
          <w:p w:rsidR="00F55B9B" w:rsidRPr="00837711" w:rsidRDefault="00925C13" w:rsidP="00F55B9B">
            <w:pPr>
              <w:numPr>
                <w:ilvl w:val="1"/>
                <w:numId w:val="4"/>
              </w:numPr>
              <w:tabs>
                <w:tab w:val="clear" w:pos="1440"/>
                <w:tab w:val="left" w:pos="426"/>
                <w:tab w:val="num" w:pos="1494"/>
              </w:tabs>
              <w:overflowPunct w:val="0"/>
              <w:autoSpaceDE w:val="0"/>
              <w:autoSpaceDN w:val="0"/>
              <w:adjustRightInd w:val="0"/>
              <w:ind w:left="1494"/>
              <w:jc w:val="both"/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</w:pPr>
            <w:r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>Class 12</w:t>
            </w:r>
            <w:r w:rsidR="00F55B9B"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 xml:space="preserve"> – diseases of red blood cel</w:t>
            </w:r>
            <w:r w:rsidR="002C3760"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 xml:space="preserve">ls and bleeding disorders– 4h – e-learning </w:t>
            </w:r>
          </w:p>
          <w:p w:rsidR="00F55B9B" w:rsidRPr="00837711" w:rsidRDefault="00925C13" w:rsidP="00F55B9B">
            <w:pPr>
              <w:numPr>
                <w:ilvl w:val="1"/>
                <w:numId w:val="4"/>
              </w:numPr>
              <w:tabs>
                <w:tab w:val="clear" w:pos="1440"/>
                <w:tab w:val="num" w:pos="1494"/>
              </w:tabs>
              <w:ind w:left="1494"/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</w:pPr>
            <w:r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>Class 13</w:t>
            </w:r>
            <w:r w:rsidR="00F55B9B"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 xml:space="preserve"> –</w:t>
            </w:r>
            <w:r w:rsidR="00F55B9B" w:rsidRPr="00837711">
              <w:rPr>
                <w:rFonts w:ascii="Cambria" w:hAnsi="Cambria"/>
                <w:bCs/>
                <w:color w:val="262626" w:themeColor="text1" w:themeTint="D9"/>
                <w:lang w:val="en-US" w:eastAsia="pl-PL"/>
              </w:rPr>
              <w:t>classes 6-14 review and summary</w:t>
            </w:r>
            <w:r w:rsidR="002C3760" w:rsidRPr="00837711">
              <w:rPr>
                <w:rFonts w:ascii="Cambria" w:hAnsi="Cambria"/>
                <w:bCs/>
                <w:color w:val="262626" w:themeColor="text1" w:themeTint="D9"/>
                <w:lang w:val="en-US" w:eastAsia="x-none"/>
              </w:rPr>
              <w:t xml:space="preserve"> 2h</w:t>
            </w:r>
          </w:p>
          <w:p w:rsidR="002C3760" w:rsidRPr="00837711" w:rsidRDefault="00925C13" w:rsidP="00F55B9B">
            <w:pPr>
              <w:numPr>
                <w:ilvl w:val="1"/>
                <w:numId w:val="4"/>
              </w:numPr>
              <w:tabs>
                <w:tab w:val="clear" w:pos="1440"/>
                <w:tab w:val="left" w:pos="426"/>
                <w:tab w:val="num" w:pos="1494"/>
              </w:tabs>
              <w:overflowPunct w:val="0"/>
              <w:autoSpaceDE w:val="0"/>
              <w:autoSpaceDN w:val="0"/>
              <w:adjustRightInd w:val="0"/>
              <w:ind w:left="1494"/>
              <w:jc w:val="both"/>
              <w:rPr>
                <w:rFonts w:ascii="Cambria" w:hAnsi="Cambria"/>
                <w:b/>
                <w:color w:val="262626" w:themeColor="text1" w:themeTint="D9"/>
                <w:u w:val="single"/>
                <w:lang w:val="en-US" w:eastAsia="x-none"/>
              </w:rPr>
            </w:pPr>
            <w:r w:rsidRPr="00837711">
              <w:rPr>
                <w:rFonts w:ascii="Cambria" w:hAnsi="Cambria"/>
                <w:b/>
                <w:color w:val="262626" w:themeColor="text1" w:themeTint="D9"/>
                <w:u w:val="single"/>
                <w:lang w:val="en-US" w:eastAsia="x-none"/>
              </w:rPr>
              <w:t>Class 14- 2-nd test classes 6-13</w:t>
            </w:r>
            <w:r w:rsidR="00F55B9B" w:rsidRPr="00837711">
              <w:rPr>
                <w:rFonts w:ascii="Cambria" w:hAnsi="Cambria"/>
                <w:b/>
                <w:color w:val="262626" w:themeColor="text1" w:themeTint="D9"/>
                <w:u w:val="single"/>
                <w:lang w:val="en-US" w:eastAsia="x-none"/>
              </w:rPr>
              <w:t xml:space="preserve"> – 2h  </w:t>
            </w:r>
          </w:p>
          <w:p w:rsidR="00F55B9B" w:rsidRPr="00837711" w:rsidRDefault="00F55B9B" w:rsidP="00F55B9B">
            <w:pPr>
              <w:numPr>
                <w:ilvl w:val="1"/>
                <w:numId w:val="4"/>
              </w:numPr>
              <w:tabs>
                <w:tab w:val="clear" w:pos="1440"/>
                <w:tab w:val="left" w:pos="426"/>
                <w:tab w:val="num" w:pos="1494"/>
              </w:tabs>
              <w:overflowPunct w:val="0"/>
              <w:autoSpaceDE w:val="0"/>
              <w:autoSpaceDN w:val="0"/>
              <w:adjustRightInd w:val="0"/>
              <w:ind w:left="1494"/>
              <w:jc w:val="both"/>
              <w:rPr>
                <w:rFonts w:ascii="Cambria" w:hAnsi="Cambria"/>
                <w:b/>
                <w:color w:val="262626" w:themeColor="text1" w:themeTint="D9"/>
                <w:u w:val="single"/>
                <w:lang w:val="en-US" w:eastAsia="x-none"/>
              </w:rPr>
            </w:pPr>
            <w:r w:rsidRPr="00837711">
              <w:rPr>
                <w:rFonts w:ascii="Cambria" w:hAnsi="Cambria"/>
                <w:b/>
                <w:color w:val="262626" w:themeColor="text1" w:themeTint="D9"/>
                <w:u w:val="single"/>
                <w:lang w:val="en-US" w:eastAsia="x-none"/>
              </w:rPr>
              <w:t>Lecture 7 – test - first sem</w:t>
            </w:r>
            <w:r w:rsidR="002C3760" w:rsidRPr="00837711">
              <w:rPr>
                <w:rFonts w:ascii="Cambria" w:hAnsi="Cambria"/>
                <w:b/>
                <w:color w:val="262626" w:themeColor="text1" w:themeTint="D9"/>
                <w:u w:val="single"/>
                <w:lang w:val="en-US" w:eastAsia="x-none"/>
              </w:rPr>
              <w:t xml:space="preserve">ester </w:t>
            </w:r>
            <w:r w:rsidR="00BF372D" w:rsidRPr="00837711">
              <w:rPr>
                <w:rFonts w:ascii="Cambria" w:hAnsi="Cambria"/>
                <w:b/>
                <w:color w:val="262626" w:themeColor="text1" w:themeTint="D9"/>
                <w:u w:val="single"/>
                <w:lang w:val="en-US" w:eastAsia="x-none"/>
              </w:rPr>
              <w:t xml:space="preserve">lectures </w:t>
            </w:r>
            <w:r w:rsidR="002C3760" w:rsidRPr="00837711">
              <w:rPr>
                <w:rFonts w:ascii="Cambria" w:hAnsi="Cambria"/>
                <w:b/>
                <w:color w:val="262626" w:themeColor="text1" w:themeTint="D9"/>
                <w:u w:val="single"/>
                <w:lang w:val="en-US" w:eastAsia="x-none"/>
              </w:rPr>
              <w:t xml:space="preserve">content – 2h  </w:t>
            </w:r>
          </w:p>
          <w:p w:rsidR="00F55B9B" w:rsidRPr="00837711" w:rsidRDefault="00F55B9B" w:rsidP="00F55B9B">
            <w:pPr>
              <w:pStyle w:val="Tekstpodstawowywcity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ind w:left="1440"/>
              <w:jc w:val="both"/>
              <w:rPr>
                <w:rFonts w:ascii="Cambria" w:hAnsi="Cambria"/>
                <w:bCs/>
                <w:color w:val="262626" w:themeColor="text1" w:themeTint="D9"/>
                <w:sz w:val="22"/>
                <w:lang w:val="en-US"/>
              </w:rPr>
            </w:pPr>
          </w:p>
          <w:p w:rsidR="00F55B9B" w:rsidRPr="007B7A61" w:rsidRDefault="00F55B9B" w:rsidP="00F55B9B">
            <w:pPr>
              <w:pStyle w:val="Tekstpodstawowywcity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  <w:r w:rsidRPr="007B7A61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SUMMER SEMESTER </w:t>
            </w:r>
          </w:p>
          <w:p w:rsidR="00F55B9B" w:rsidRPr="007B7A61" w:rsidRDefault="00F55B9B" w:rsidP="00F55B9B">
            <w:pPr>
              <w:pStyle w:val="Tekstpodstawowywcity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ind w:left="1440"/>
              <w:jc w:val="both"/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</w:p>
          <w:p w:rsidR="00F55B9B" w:rsidRPr="007B7A61" w:rsidRDefault="00925C13" w:rsidP="00F55B9B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</w:pPr>
            <w:r w:rsidRPr="007B7A61"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  <w:t>Class 15</w:t>
            </w:r>
            <w:r w:rsidR="002C3760" w:rsidRPr="007B7A61"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  <w:t xml:space="preserve">– </w:t>
            </w:r>
            <w:r w:rsidR="002854EA" w:rsidRPr="007B7A61"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  <w:t xml:space="preserve">respiratory system </w:t>
            </w:r>
            <w:r w:rsidR="002C3760" w:rsidRPr="007B7A61"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  <w:t xml:space="preserve"> – 4</w:t>
            </w:r>
            <w:r w:rsidR="00F55B9B" w:rsidRPr="007B7A61"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  <w:t>h</w:t>
            </w:r>
          </w:p>
          <w:p w:rsidR="00F55B9B" w:rsidRPr="007B7A61" w:rsidRDefault="00925C13" w:rsidP="00F55B9B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</w:pPr>
            <w:r w:rsidRPr="007B7A61"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  <w:t>Class 16</w:t>
            </w:r>
            <w:r w:rsidR="00F55B9B" w:rsidRPr="007B7A61"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  <w:t xml:space="preserve"> – head and neck diseases </w:t>
            </w:r>
            <w:r w:rsidR="002854EA" w:rsidRPr="007B7A61"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  <w:t>and upper GI -4</w:t>
            </w:r>
            <w:r w:rsidR="00F55B9B" w:rsidRPr="007B7A61"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  <w:t>h</w:t>
            </w:r>
          </w:p>
          <w:p w:rsidR="00F55B9B" w:rsidRPr="007B7A61" w:rsidRDefault="00F55B9B" w:rsidP="00F55B9B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</w:pPr>
            <w:r w:rsidRPr="007B7A61">
              <w:rPr>
                <w:rFonts w:ascii="Cambria" w:eastAsia="Times New Roman" w:hAnsi="Cambria" w:cs="Times New Roman"/>
                <w:b/>
                <w:bCs/>
                <w:color w:val="000000" w:themeColor="text1"/>
                <w:szCs w:val="24"/>
                <w:lang w:eastAsia="x-none"/>
              </w:rPr>
              <w:t>Lecture 8</w:t>
            </w:r>
            <w:r w:rsidRPr="007B7A61"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  <w:t xml:space="preserve"> – GI pathology – 4h</w:t>
            </w:r>
          </w:p>
          <w:p w:rsidR="00F55B9B" w:rsidRPr="007B7A61" w:rsidRDefault="00925C13" w:rsidP="00F55B9B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</w:pPr>
            <w:r w:rsidRPr="007B7A61"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  <w:t>Class 17</w:t>
            </w:r>
            <w:r w:rsidR="002854EA" w:rsidRPr="007B7A61"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  <w:t xml:space="preserve"> - GI  pathology (intestines pathology) – 4h</w:t>
            </w:r>
          </w:p>
          <w:p w:rsidR="00F55B9B" w:rsidRPr="007B7A61" w:rsidRDefault="00925C13" w:rsidP="00F55B9B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</w:pPr>
            <w:r w:rsidRPr="007B7A61"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  <w:t>Class 18</w:t>
            </w:r>
            <w:r w:rsidR="00F55B9B" w:rsidRPr="007B7A61"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  <w:t xml:space="preserve"> – </w:t>
            </w:r>
            <w:r w:rsidR="002854EA" w:rsidRPr="007B7A61"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  <w:t>liver and biliary tree and pancreas – 4h</w:t>
            </w:r>
          </w:p>
          <w:p w:rsidR="00F55B9B" w:rsidRPr="007B7A61" w:rsidRDefault="00F55B9B" w:rsidP="00F55B9B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</w:pPr>
            <w:r w:rsidRPr="007B7A61">
              <w:rPr>
                <w:rFonts w:ascii="Cambria" w:eastAsia="Times New Roman" w:hAnsi="Cambria" w:cs="Times New Roman"/>
                <w:b/>
                <w:bCs/>
                <w:color w:val="000000" w:themeColor="text1"/>
                <w:szCs w:val="24"/>
                <w:lang w:eastAsia="x-none"/>
              </w:rPr>
              <w:t>Lecture 9</w:t>
            </w:r>
            <w:r w:rsidRPr="007B7A61">
              <w:rPr>
                <w:rFonts w:ascii="Cambria" w:eastAsia="Times New Roman" w:hAnsi="Cambria" w:cs="Times New Roman"/>
                <w:bCs/>
                <w:color w:val="000000" w:themeColor="text1"/>
                <w:szCs w:val="24"/>
                <w:lang w:eastAsia="x-none"/>
              </w:rPr>
              <w:t xml:space="preserve"> – Liver and biliary tree – 4h</w:t>
            </w:r>
          </w:p>
          <w:p w:rsidR="00F55B9B" w:rsidRPr="00837711" w:rsidRDefault="00925C13" w:rsidP="002854EA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</w:pPr>
            <w:bookmarkStart w:id="0" w:name="_GoBack"/>
            <w:r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>Class 19</w:t>
            </w:r>
            <w:r w:rsidR="00F55B9B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 xml:space="preserve"> – kidney </w:t>
            </w:r>
            <w:r w:rsidR="002854EA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>4h</w:t>
            </w:r>
          </w:p>
          <w:p w:rsidR="00F55B9B" w:rsidRPr="00837711" w:rsidRDefault="00F55B9B" w:rsidP="00F55B9B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</w:pPr>
            <w:r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>C</w:t>
            </w:r>
            <w:r w:rsidR="00925C13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>lass 20</w:t>
            </w:r>
            <w:r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 xml:space="preserve"> – </w:t>
            </w:r>
            <w:r w:rsidR="002854EA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 xml:space="preserve">autopsy </w:t>
            </w:r>
            <w:r w:rsidR="00A30447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>2</w:t>
            </w:r>
            <w:r w:rsidR="002854EA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>h</w:t>
            </w:r>
          </w:p>
          <w:p w:rsidR="00F55B9B" w:rsidRPr="00837711" w:rsidRDefault="00F55B9B" w:rsidP="00F55B9B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color w:val="262626" w:themeColor="text1" w:themeTint="D9"/>
                <w:szCs w:val="24"/>
                <w:lang w:eastAsia="x-none"/>
              </w:rPr>
            </w:pPr>
            <w:r w:rsidRPr="00837711">
              <w:rPr>
                <w:rFonts w:ascii="Cambria" w:eastAsia="Times New Roman" w:hAnsi="Cambria" w:cs="Times New Roman"/>
                <w:b/>
                <w:color w:val="262626" w:themeColor="text1" w:themeTint="D9"/>
                <w:szCs w:val="24"/>
                <w:u w:val="single"/>
                <w:lang w:eastAsia="x-none"/>
              </w:rPr>
              <w:t>Class</w:t>
            </w:r>
            <w:r w:rsidR="00925C13" w:rsidRPr="00837711">
              <w:rPr>
                <w:rFonts w:ascii="Cambria" w:eastAsia="Times New Roman" w:hAnsi="Cambria" w:cs="Times New Roman"/>
                <w:b/>
                <w:color w:val="262626" w:themeColor="text1" w:themeTint="D9"/>
                <w:szCs w:val="24"/>
                <w:u w:val="single"/>
                <w:lang w:eastAsia="x-none"/>
              </w:rPr>
              <w:t xml:space="preserve"> 21 – 3-rd test , classes 15-19</w:t>
            </w:r>
            <w:r w:rsidRPr="00837711">
              <w:rPr>
                <w:rFonts w:ascii="Cambria" w:eastAsia="Times New Roman" w:hAnsi="Cambria" w:cs="Times New Roman"/>
                <w:b/>
                <w:color w:val="262626" w:themeColor="text1" w:themeTint="D9"/>
                <w:szCs w:val="24"/>
                <w:u w:val="single"/>
                <w:lang w:eastAsia="x-none"/>
              </w:rPr>
              <w:t xml:space="preserve"> – 2h</w:t>
            </w:r>
          </w:p>
          <w:p w:rsidR="00F55B9B" w:rsidRPr="00837711" w:rsidRDefault="00925C13" w:rsidP="00F55B9B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</w:pPr>
            <w:r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>Class 22</w:t>
            </w:r>
            <w:r w:rsidR="00F55B9B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>– Urinary t</w:t>
            </w:r>
            <w:r w:rsidR="002854EA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>ract and male genital system – 4</w:t>
            </w:r>
            <w:r w:rsidR="00F55B9B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>h</w:t>
            </w:r>
          </w:p>
          <w:p w:rsidR="00F55B9B" w:rsidRPr="00837711" w:rsidRDefault="00F55B9B" w:rsidP="00F55B9B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</w:pPr>
            <w:r w:rsidRPr="00837711">
              <w:rPr>
                <w:rFonts w:ascii="Cambria" w:eastAsia="Times New Roman" w:hAnsi="Cambria" w:cs="Times New Roman"/>
                <w:b/>
                <w:bCs/>
                <w:color w:val="262626" w:themeColor="text1" w:themeTint="D9"/>
                <w:szCs w:val="24"/>
                <w:lang w:eastAsia="x-none"/>
              </w:rPr>
              <w:t>Lecture 10</w:t>
            </w:r>
            <w:r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 xml:space="preserve"> – Female genital system – 4h</w:t>
            </w:r>
          </w:p>
          <w:p w:rsidR="00F55B9B" w:rsidRPr="00837711" w:rsidRDefault="00925C13" w:rsidP="00F55B9B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</w:pPr>
            <w:r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>Class 23</w:t>
            </w:r>
            <w:r w:rsidR="002854EA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 xml:space="preserve"> -  female genital system – 4</w:t>
            </w:r>
            <w:r w:rsidR="00F55B9B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>h</w:t>
            </w:r>
          </w:p>
          <w:p w:rsidR="00F55B9B" w:rsidRPr="00837711" w:rsidRDefault="00925C13" w:rsidP="00F55B9B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</w:pPr>
            <w:r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>Class 24</w:t>
            </w:r>
            <w:r w:rsidR="00F55B9B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 xml:space="preserve"> – the breast – 3h</w:t>
            </w:r>
          </w:p>
          <w:p w:rsidR="00F55B9B" w:rsidRPr="00837711" w:rsidRDefault="00F55B9B" w:rsidP="00F55B9B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</w:pPr>
            <w:r w:rsidRPr="00837711">
              <w:rPr>
                <w:rFonts w:ascii="Cambria" w:eastAsia="Times New Roman" w:hAnsi="Cambria" w:cs="Times New Roman"/>
                <w:b/>
                <w:bCs/>
                <w:color w:val="262626" w:themeColor="text1" w:themeTint="D9"/>
                <w:szCs w:val="24"/>
                <w:lang w:eastAsia="x-none"/>
              </w:rPr>
              <w:t>Lecture 11</w:t>
            </w:r>
            <w:r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 xml:space="preserve"> – endocrine system – 4h</w:t>
            </w:r>
          </w:p>
          <w:p w:rsidR="00F55B9B" w:rsidRPr="00837711" w:rsidRDefault="00925C13" w:rsidP="00F55B9B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</w:pPr>
            <w:r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>Class 25</w:t>
            </w:r>
            <w:r w:rsidR="00F55B9B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 xml:space="preserve"> – endocrine </w:t>
            </w:r>
            <w:r w:rsidR="002854EA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>system – 4</w:t>
            </w:r>
            <w:r w:rsidR="00F55B9B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>h</w:t>
            </w:r>
            <w:r w:rsidR="00A30447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 xml:space="preserve"> </w:t>
            </w:r>
          </w:p>
          <w:p w:rsidR="00F55B9B" w:rsidRPr="00837711" w:rsidRDefault="00925C13" w:rsidP="00F55B9B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</w:pPr>
            <w:r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>Class 26</w:t>
            </w:r>
            <w:r w:rsidR="002854EA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 xml:space="preserve"> – the skin – 4</w:t>
            </w:r>
            <w:r w:rsidR="00F55B9B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>h</w:t>
            </w:r>
          </w:p>
          <w:p w:rsidR="00F55B9B" w:rsidRPr="00837711" w:rsidRDefault="00F55B9B" w:rsidP="00F55B9B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</w:pPr>
            <w:r w:rsidRPr="00837711">
              <w:rPr>
                <w:rFonts w:ascii="Cambria" w:eastAsia="Times New Roman" w:hAnsi="Cambria" w:cs="Times New Roman"/>
                <w:b/>
                <w:bCs/>
                <w:color w:val="262626" w:themeColor="text1" w:themeTint="D9"/>
                <w:szCs w:val="24"/>
                <w:lang w:eastAsia="x-none"/>
              </w:rPr>
              <w:t>Lecture 12</w:t>
            </w:r>
            <w:r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 xml:space="preserve"> –  soft tissue tumors</w:t>
            </w:r>
            <w:r w:rsidR="00A30447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 xml:space="preserve"> </w:t>
            </w:r>
            <w:r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>– 4h</w:t>
            </w:r>
          </w:p>
          <w:p w:rsidR="00F55B9B" w:rsidRPr="00837711" w:rsidRDefault="00F55B9B" w:rsidP="00F55B9B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</w:pPr>
            <w:r w:rsidRPr="00837711">
              <w:rPr>
                <w:rFonts w:ascii="Cambria" w:eastAsia="Times New Roman" w:hAnsi="Cambria" w:cs="Times New Roman"/>
                <w:b/>
                <w:bCs/>
                <w:color w:val="262626" w:themeColor="text1" w:themeTint="D9"/>
                <w:szCs w:val="24"/>
                <w:lang w:eastAsia="x-none"/>
              </w:rPr>
              <w:t xml:space="preserve">Lecture 13- bone and joints pathology 3h </w:t>
            </w:r>
          </w:p>
          <w:p w:rsidR="00F55B9B" w:rsidRPr="00837711" w:rsidRDefault="00925C13" w:rsidP="00F55B9B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</w:pPr>
            <w:r w:rsidRPr="00837711">
              <w:rPr>
                <w:rFonts w:ascii="Cambria" w:eastAsia="Times New Roman" w:hAnsi="Cambria" w:cs="Times New Roman"/>
                <w:b/>
                <w:bCs/>
                <w:color w:val="262626" w:themeColor="text1" w:themeTint="D9"/>
                <w:szCs w:val="24"/>
                <w:lang w:eastAsia="x-none"/>
              </w:rPr>
              <w:t>Class 27</w:t>
            </w:r>
            <w:r w:rsidR="002854EA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 xml:space="preserve"> </w:t>
            </w:r>
            <w:r w:rsidR="00A30447" w:rsidRPr="00837711"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  <w:t xml:space="preserve"> muscle, peripheral nerves and bone pathology – e-learning 5h</w:t>
            </w:r>
          </w:p>
          <w:p w:rsidR="00F55B9B" w:rsidRPr="00837711" w:rsidRDefault="00925C13" w:rsidP="00F55B9B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</w:pPr>
            <w:r w:rsidRPr="00837711">
              <w:rPr>
                <w:rFonts w:ascii="Cambria" w:eastAsia="Times New Roman" w:hAnsi="Cambria" w:cs="Times New Roman"/>
                <w:b/>
                <w:bCs/>
                <w:color w:val="262626" w:themeColor="text1" w:themeTint="D9"/>
                <w:szCs w:val="24"/>
                <w:u w:val="single"/>
                <w:lang w:eastAsia="x-none"/>
              </w:rPr>
              <w:t>Class 28 – 4-th test classes 22-27</w:t>
            </w:r>
            <w:r w:rsidR="00F55B9B" w:rsidRPr="00837711">
              <w:rPr>
                <w:rFonts w:ascii="Cambria" w:eastAsia="Times New Roman" w:hAnsi="Cambria" w:cs="Times New Roman"/>
                <w:b/>
                <w:bCs/>
                <w:color w:val="262626" w:themeColor="text1" w:themeTint="D9"/>
                <w:szCs w:val="24"/>
                <w:u w:val="single"/>
                <w:lang w:eastAsia="x-none"/>
              </w:rPr>
              <w:t xml:space="preserve"> - 2h</w:t>
            </w:r>
          </w:p>
          <w:p w:rsidR="00F55B9B" w:rsidRPr="00837711" w:rsidRDefault="00F55B9B" w:rsidP="00F55B9B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262626" w:themeColor="text1" w:themeTint="D9"/>
                <w:szCs w:val="24"/>
                <w:lang w:eastAsia="x-none"/>
              </w:rPr>
            </w:pPr>
            <w:r w:rsidRPr="00837711">
              <w:rPr>
                <w:rFonts w:ascii="Cambria" w:eastAsia="Times New Roman" w:hAnsi="Cambria" w:cs="Times New Roman"/>
                <w:b/>
                <w:bCs/>
                <w:color w:val="262626" w:themeColor="text1" w:themeTint="D9"/>
                <w:szCs w:val="24"/>
                <w:u w:val="single"/>
                <w:lang w:eastAsia="x-none"/>
              </w:rPr>
              <w:t xml:space="preserve">Lecture14 – 2-nd semester  </w:t>
            </w:r>
            <w:r w:rsidR="00BF372D" w:rsidRPr="00837711">
              <w:rPr>
                <w:rFonts w:ascii="Cambria" w:eastAsia="Times New Roman" w:hAnsi="Cambria" w:cs="Times New Roman"/>
                <w:b/>
                <w:bCs/>
                <w:color w:val="262626" w:themeColor="text1" w:themeTint="D9"/>
                <w:szCs w:val="24"/>
                <w:u w:val="single"/>
                <w:lang w:eastAsia="x-none"/>
              </w:rPr>
              <w:t xml:space="preserve">lectures </w:t>
            </w:r>
            <w:r w:rsidRPr="00837711">
              <w:rPr>
                <w:rFonts w:ascii="Cambria" w:eastAsia="Times New Roman" w:hAnsi="Cambria" w:cs="Times New Roman"/>
                <w:b/>
                <w:bCs/>
                <w:color w:val="262626" w:themeColor="text1" w:themeTint="D9"/>
                <w:szCs w:val="24"/>
                <w:u w:val="single"/>
                <w:lang w:eastAsia="x-none"/>
              </w:rPr>
              <w:t>test – 2h</w:t>
            </w:r>
          </w:p>
          <w:p w:rsidR="00F55B9B" w:rsidRPr="00837711" w:rsidRDefault="00F55B9B" w:rsidP="00F55B9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rFonts w:ascii="Cambria" w:hAnsi="Cambria"/>
                <w:bCs/>
                <w:color w:val="262626" w:themeColor="text1" w:themeTint="D9"/>
                <w:highlight w:val="green"/>
                <w:lang w:val="en-US" w:eastAsia="x-none"/>
              </w:rPr>
            </w:pPr>
          </w:p>
          <w:bookmarkEnd w:id="0"/>
          <w:p w:rsidR="00F55B9B" w:rsidRPr="00F55B9B" w:rsidRDefault="00F55B9B" w:rsidP="00F55B9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144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F55B9B" w:rsidRDefault="00F55B9B" w:rsidP="00F55B9B">
      <w:pPr>
        <w:rPr>
          <w:rFonts w:eastAsia="Arial Unicode MS"/>
          <w:b/>
          <w:sz w:val="20"/>
          <w:szCs w:val="20"/>
          <w:lang w:val="en-GB" w:eastAsia="pl-PL"/>
        </w:rPr>
      </w:pPr>
    </w:p>
    <w:p w:rsidR="00BE4B2B" w:rsidRDefault="00BE4B2B" w:rsidP="00F55B9B">
      <w:pPr>
        <w:rPr>
          <w:rFonts w:eastAsia="Arial Unicode MS"/>
          <w:b/>
          <w:sz w:val="20"/>
          <w:szCs w:val="20"/>
          <w:lang w:val="en-GB" w:eastAsia="pl-PL"/>
        </w:rPr>
      </w:pPr>
      <w:r>
        <w:rPr>
          <w:rFonts w:eastAsia="Arial Unicode MS"/>
          <w:b/>
          <w:sz w:val="20"/>
          <w:szCs w:val="20"/>
          <w:lang w:val="en-GB" w:eastAsia="pl-PL"/>
        </w:rPr>
        <w:br/>
      </w:r>
      <w:r>
        <w:rPr>
          <w:rFonts w:eastAsia="Arial Unicode MS"/>
          <w:b/>
          <w:sz w:val="20"/>
          <w:szCs w:val="20"/>
          <w:lang w:val="en-GB" w:eastAsia="pl-PL"/>
        </w:rPr>
        <w:br/>
      </w:r>
      <w:r>
        <w:rPr>
          <w:rFonts w:eastAsia="Arial Unicode MS"/>
          <w:b/>
          <w:sz w:val="20"/>
          <w:szCs w:val="20"/>
          <w:lang w:val="en-GB" w:eastAsia="pl-PL"/>
        </w:rPr>
        <w:br/>
      </w:r>
    </w:p>
    <w:p w:rsidR="00F55B9B" w:rsidRPr="00EE2575" w:rsidRDefault="00F55B9B" w:rsidP="00F55B9B">
      <w:pPr>
        <w:rPr>
          <w:lang w:val="en-GB"/>
        </w:rPr>
      </w:pPr>
      <w:r>
        <w:rPr>
          <w:rFonts w:eastAsia="Arial Unicode MS"/>
          <w:b/>
          <w:sz w:val="20"/>
          <w:szCs w:val="20"/>
          <w:lang w:val="en-GB" w:eastAsia="pl-PL"/>
        </w:rPr>
        <w:lastRenderedPageBreak/>
        <w:t>4.3 Intended learning</w:t>
      </w:r>
      <w:r w:rsidRPr="00EE2575">
        <w:rPr>
          <w:rFonts w:eastAsia="Arial Unicode MS"/>
          <w:b/>
          <w:sz w:val="20"/>
          <w:szCs w:val="20"/>
          <w:lang w:val="en-GB" w:eastAsia="pl-PL"/>
        </w:rPr>
        <w:t xml:space="preserve"> outcomes</w:t>
      </w:r>
      <w:r w:rsidR="00B30B72">
        <w:rPr>
          <w:rFonts w:eastAsia="Arial Unicode MS"/>
          <w:b/>
          <w:sz w:val="20"/>
          <w:szCs w:val="20"/>
          <w:lang w:val="en-GB" w:eastAsia="pl-PL"/>
        </w:rPr>
        <w:br/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F55B9B" w:rsidRPr="00BE4B2B" w:rsidTr="00F55B9B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B9B" w:rsidRPr="0073495B" w:rsidRDefault="00F55B9B" w:rsidP="00F55B9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73495B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Relation to 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F55B9B" w:rsidRPr="00837711" w:rsidTr="00F55B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F55B9B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8B4DA4">
              <w:rPr>
                <w:b/>
                <w:caps/>
                <w:sz w:val="20"/>
                <w:szCs w:val="20"/>
                <w:lang w:val="en-GB"/>
              </w:rPr>
              <w:t xml:space="preserve"> </w:t>
            </w:r>
            <w:r w:rsidR="008B4DA4" w:rsidRPr="008F2291">
              <w:rPr>
                <w:rFonts w:ascii="Calibri" w:eastAsia="Calibri" w:hAnsi="Calibri"/>
                <w:lang w:val="en-US"/>
              </w:rPr>
              <w:t xml:space="preserve"> </w:t>
            </w:r>
            <w:r w:rsidR="008B4DA4" w:rsidRPr="008B4DA4">
              <w:rPr>
                <w:sz w:val="20"/>
                <w:szCs w:val="20"/>
                <w:lang w:val="en-GB"/>
              </w:rPr>
              <w:t>the graduate knows and understands</w:t>
            </w:r>
            <w:r w:rsidRPr="00EE2575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BE4B2B" w:rsidRDefault="00F55B9B" w:rsidP="00F55B9B">
            <w:pPr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BE4B2B">
              <w:rPr>
                <w:color w:val="000000"/>
                <w:sz w:val="20"/>
                <w:szCs w:val="20"/>
                <w:lang w:val="en-US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the terminology used in anatomic pathology;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8B4DA4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C.W26</w:t>
            </w:r>
            <w:r w:rsidR="00F55B9B"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basic mechanisms of tissue and cell damage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8B4DA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C.W2</w:t>
            </w:r>
            <w:r w:rsidR="008B4DA4">
              <w:rPr>
                <w:color w:val="000000"/>
                <w:sz w:val="20"/>
                <w:szCs w:val="20"/>
                <w:lang w:eastAsia="pl-PL"/>
              </w:rPr>
              <w:t>7</w:t>
            </w:r>
            <w:r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determines the clinical course specific and non-specific inflammations and describes the regeneration of tissues and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8B4DA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C.W2</w:t>
            </w:r>
            <w:r w:rsidR="008B4DA4">
              <w:rPr>
                <w:color w:val="000000"/>
                <w:sz w:val="20"/>
                <w:szCs w:val="20"/>
                <w:lang w:eastAsia="pl-PL"/>
              </w:rPr>
              <w:t>8</w:t>
            </w:r>
            <w:r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B4DA4" w:rsidP="008B4DA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>he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>definition and pathophysiology of shock, with particular emphasis on the differentiation of shock and multiple organ failure’s causes;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8B4DA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C.W2</w:t>
            </w:r>
            <w:r w:rsidR="008B4DA4">
              <w:rPr>
                <w:color w:val="000000"/>
                <w:sz w:val="20"/>
                <w:szCs w:val="20"/>
                <w:lang w:eastAsia="pl-PL"/>
              </w:rPr>
              <w:t>9</w:t>
            </w:r>
            <w:r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the etiology of hemodynamic disturbances, retrogressive and progressive changes;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8B4DA4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C.W30</w:t>
            </w:r>
            <w:r w:rsidR="00F55B9B"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the problems concerning specific organ pathology, macroscopic and microscopic images and the clinical course of pathological changes in various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8B4DA4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C.W31</w:t>
            </w:r>
            <w:r w:rsidR="00F55B9B"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the consequences of developing pathological changes for topographically adjacent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8B4DA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C.W3</w:t>
            </w:r>
            <w:r w:rsidR="008B4DA4">
              <w:rPr>
                <w:color w:val="000000"/>
                <w:sz w:val="20"/>
                <w:szCs w:val="20"/>
                <w:lang w:eastAsia="pl-PL"/>
              </w:rPr>
              <w:t>2</w:t>
            </w:r>
            <w:r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W08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internal and external pathogens, both modifiable and non-modifiable;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8B4DA4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C.W33</w:t>
            </w:r>
            <w:r w:rsidR="00F55B9B"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W09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B4DA4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c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>linical forms of most common diseases of various systems and organs, metabolic diseases and disorders of water-electrolyte balance and acid-base balance;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8B4DA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C.W3</w:t>
            </w:r>
            <w:r w:rsidR="008B4DA4">
              <w:rPr>
                <w:color w:val="000000"/>
                <w:sz w:val="20"/>
                <w:szCs w:val="20"/>
                <w:lang w:eastAsia="pl-PL"/>
              </w:rPr>
              <w:t>4</w:t>
            </w:r>
            <w:r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837711" w:rsidTr="00F55B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8B4DA4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8B4DA4" w:rsidRPr="007B7A61">
              <w:rPr>
                <w:lang w:val="en-US"/>
              </w:rPr>
              <w:t xml:space="preserve"> </w:t>
            </w:r>
            <w:r w:rsidR="008B4DA4" w:rsidRPr="008B4DA4">
              <w:rPr>
                <w:rFonts w:eastAsia="Arial Unicode MS"/>
                <w:sz w:val="20"/>
                <w:szCs w:val="20"/>
                <w:lang w:val="en-GB" w:eastAsia="pl-PL"/>
              </w:rPr>
              <w:t>the graduate knows how to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:</w:t>
            </w:r>
          </w:p>
        </w:tc>
      </w:tr>
      <w:tr w:rsidR="00F55B9B" w:rsidRPr="00EE2575" w:rsidTr="003E4F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B4DA4" w:rsidP="00F55B9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operate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 xml:space="preserve"> the optical microscope, also making use of immersion;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A.U1.</w:t>
            </w:r>
          </w:p>
        </w:tc>
      </w:tr>
      <w:tr w:rsidR="00F55B9B" w:rsidRPr="00EE2575" w:rsidTr="003E4F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B4DA4" w:rsidP="00F55B9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recognize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 xml:space="preserve"> histological structures of organs, tissues, cells and cellular structures on the optical or histological microscope images, makes descriptions and interprets the structure and relations between the structure and the function;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A.U2.</w:t>
            </w:r>
          </w:p>
        </w:tc>
      </w:tr>
      <w:tr w:rsidR="00F55B9B" w:rsidRPr="00EE2575" w:rsidTr="003E4F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B4DA4" w:rsidP="00F55B9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understand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 xml:space="preserve"> the relation between images of tissue and organ damage and clinical symptoms of the disease, medical history and the results of laboratory determinations;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C.U11.</w:t>
            </w:r>
          </w:p>
        </w:tc>
      </w:tr>
    </w:tbl>
    <w:p w:rsidR="00F55B9B" w:rsidRDefault="00F55B9B" w:rsidP="00F55B9B"/>
    <w:p w:rsidR="00F55B9B" w:rsidRDefault="00F55B9B" w:rsidP="00F55B9B">
      <w:r>
        <w:br w:type="textWrapping" w:clear="all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F55B9B" w:rsidRPr="00837711" w:rsidTr="00C633D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73495B" w:rsidRDefault="00F55B9B" w:rsidP="00F55B9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essment of the intended learning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F55B9B" w:rsidRPr="00EE2575" w:rsidTr="00C633D9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B9B" w:rsidRPr="00EE2575" w:rsidRDefault="00F55B9B" w:rsidP="00C633D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F55B9B" w:rsidRPr="00EE2575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73495B" w:rsidRDefault="00F55B9B" w:rsidP="00C633D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EE2575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 </w:t>
            </w: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</w:tr>
      <w:tr w:rsidR="00F55B9B" w:rsidRPr="00EE2575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73495B" w:rsidRDefault="00F55B9B" w:rsidP="00C633D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F55B9B" w:rsidRPr="00EE2575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73495B" w:rsidRDefault="00F55B9B" w:rsidP="00C633D9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F55B9B">
            <w:pPr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F55B9B">
            <w:pPr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F55B9B">
            <w:pPr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F55B9B">
            <w:pPr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F55B9B">
            <w:pPr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F55B9B">
            <w:pPr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F55B9B">
            <w:pPr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F55B9B">
            <w:pPr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F55B9B">
            <w:pPr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A01B45" w:rsidRDefault="00F55B9B" w:rsidP="00F55B9B">
            <w:pPr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A01B45" w:rsidRDefault="00F55B9B" w:rsidP="00F55B9B">
            <w:pPr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A01B45" w:rsidRDefault="00F55B9B" w:rsidP="00F55B9B">
            <w:pPr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55B9B" w:rsidRPr="00EE2575" w:rsidRDefault="00F55B9B" w:rsidP="00F55B9B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F55B9B" w:rsidRDefault="00F55B9B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F55B9B" w:rsidRPr="00EE2575" w:rsidRDefault="00F55B9B" w:rsidP="00F55B9B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F55B9B" w:rsidRPr="00837711" w:rsidTr="00C633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ssment of the intended 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F55B9B" w:rsidRPr="00EE2575" w:rsidTr="00C633D9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C669C" w:rsidRDefault="00F55B9B" w:rsidP="00C633D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C669C" w:rsidRDefault="00F55B9B" w:rsidP="00C633D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9B" w:rsidRPr="00AC669C" w:rsidRDefault="00F55B9B" w:rsidP="00C633D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F55B9B" w:rsidRPr="00837711" w:rsidTr="00C633D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B9B" w:rsidRPr="00AC669C" w:rsidRDefault="00F55B9B" w:rsidP="00F55B9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rFonts w:eastAsia="Arial Unicode MS"/>
                <w:sz w:val="18"/>
                <w:szCs w:val="18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61-68%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 xml:space="preserve">The result of the practical and theoretical tests </w:t>
            </w:r>
          </w:p>
        </w:tc>
      </w:tr>
      <w:tr w:rsidR="00F55B9B" w:rsidRPr="00837711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69%-76%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837711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77%-84%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837711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85%-92%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837711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93%-100%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837711" w:rsidTr="00C633D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B9B" w:rsidRPr="00AC669C" w:rsidRDefault="00F55B9B" w:rsidP="00F55B9B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rFonts w:eastAsia="Arial Unicode MS"/>
                <w:sz w:val="18"/>
                <w:szCs w:val="18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61-68%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 xml:space="preserve">The result of the practical and theoretical tests </w:t>
            </w:r>
          </w:p>
        </w:tc>
      </w:tr>
      <w:tr w:rsidR="00F55B9B" w:rsidRPr="00837711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69%-76%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837711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77%-84%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837711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85%-92%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837711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93%-100%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</w:tbl>
    <w:p w:rsidR="00F55B9B" w:rsidRPr="00EE2575" w:rsidRDefault="00F55B9B" w:rsidP="00F55B9B">
      <w:pPr>
        <w:rPr>
          <w:lang w:val="en-GB"/>
        </w:rPr>
      </w:pPr>
    </w:p>
    <w:p w:rsidR="00F55B9B" w:rsidRPr="00EE2575" w:rsidRDefault="00F55B9B" w:rsidP="00F55B9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93"/>
      </w:tblGrid>
      <w:tr w:rsidR="00F55B9B" w:rsidRPr="00EE2575" w:rsidTr="00B30B72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B9B" w:rsidRPr="00EE2575" w:rsidRDefault="00F55B9B" w:rsidP="00C633D9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9B" w:rsidRPr="00EE2575" w:rsidRDefault="00F55B9B" w:rsidP="00C633D9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F55B9B" w:rsidRPr="00EE2575" w:rsidTr="00B30B72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C633D9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C633D9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Full-time</w:t>
            </w:r>
          </w:p>
          <w:p w:rsidR="00F55B9B" w:rsidRPr="00EE2575" w:rsidRDefault="00F55B9B" w:rsidP="00C633D9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studies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150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50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100</w:t>
            </w:r>
          </w:p>
        </w:tc>
      </w:tr>
      <w:tr w:rsidR="00F55B9B" w:rsidRPr="00837711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5B9B" w:rsidRPr="00EE2575" w:rsidRDefault="00F55B9B" w:rsidP="00F55B9B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B9B" w:rsidRPr="00EE2575" w:rsidRDefault="00AF40B0" w:rsidP="00AF40B0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175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AF40B0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95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AF40B0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70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AC2EBE"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  <w:lang w:val="en-GB"/>
              </w:rPr>
              <w:t>0</w:t>
            </w:r>
          </w:p>
        </w:tc>
      </w:tr>
      <w:tr w:rsidR="00F55B9B" w:rsidRPr="00837711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55B9B" w:rsidRPr="00837711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</w:t>
            </w:r>
            <w:r>
              <w:rPr>
                <w:i/>
                <w:sz w:val="18"/>
                <w:szCs w:val="18"/>
                <w:lang w:val="en-GB"/>
              </w:rPr>
              <w:t xml:space="preserve"> (please specify e.g. e-learning)</w:t>
            </w:r>
            <w:r w:rsidRPr="00EE2575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B9B" w:rsidRPr="00EE2575" w:rsidRDefault="00AF40B0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325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5B9B" w:rsidRPr="00EE2575" w:rsidRDefault="00F55B9B" w:rsidP="00F55B9B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B9B" w:rsidRPr="00EE2575" w:rsidRDefault="00AF40B0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13</w:t>
            </w:r>
          </w:p>
        </w:tc>
      </w:tr>
    </w:tbl>
    <w:p w:rsidR="00F55B9B" w:rsidRDefault="00F55B9B" w:rsidP="00F55B9B">
      <w:pPr>
        <w:rPr>
          <w:b/>
          <w:i/>
          <w:sz w:val="16"/>
          <w:szCs w:val="16"/>
          <w:lang w:val="en-GB"/>
        </w:rPr>
      </w:pPr>
      <w:r w:rsidRPr="00E51073">
        <w:rPr>
          <w:b/>
          <w:i/>
          <w:sz w:val="16"/>
          <w:szCs w:val="16"/>
          <w:lang w:val="en-GB"/>
        </w:rPr>
        <w:t>*delete as appropriate</w:t>
      </w:r>
    </w:p>
    <w:p w:rsidR="00F55B9B" w:rsidRPr="00E51073" w:rsidRDefault="00F55B9B" w:rsidP="00F55B9B">
      <w:pPr>
        <w:rPr>
          <w:b/>
          <w:i/>
          <w:sz w:val="16"/>
          <w:szCs w:val="16"/>
          <w:lang w:val="en-GB"/>
        </w:rPr>
      </w:pPr>
    </w:p>
    <w:p w:rsidR="00F55B9B" w:rsidRPr="00114080" w:rsidRDefault="00F55B9B" w:rsidP="00F55B9B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</w:t>
      </w:r>
      <w:r>
        <w:rPr>
          <w:i/>
          <w:sz w:val="14"/>
          <w:szCs w:val="14"/>
          <w:lang w:val="en-GB"/>
        </w:rPr>
        <w:t xml:space="preserve"> legible</w:t>
      </w:r>
      <w:r w:rsidRPr="00EE2575">
        <w:rPr>
          <w:i/>
          <w:sz w:val="14"/>
          <w:szCs w:val="14"/>
          <w:lang w:val="en-GB"/>
        </w:rPr>
        <w:t xml:space="preserve"> signatures of the teachers running the course in the given academic year)</w:t>
      </w:r>
    </w:p>
    <w:p w:rsidR="00F55B9B" w:rsidRDefault="00F55B9B" w:rsidP="00F55B9B">
      <w:pPr>
        <w:ind w:left="1416"/>
        <w:rPr>
          <w:i/>
          <w:sz w:val="16"/>
          <w:szCs w:val="16"/>
          <w:lang w:val="en-GB"/>
        </w:rPr>
      </w:pPr>
      <w:r w:rsidRPr="00EE2575">
        <w:rPr>
          <w:i/>
          <w:sz w:val="16"/>
          <w:szCs w:val="16"/>
          <w:lang w:val="en-GB"/>
        </w:rPr>
        <w:t xml:space="preserve">        </w:t>
      </w:r>
    </w:p>
    <w:p w:rsidR="00F55B9B" w:rsidRPr="00BF372D" w:rsidRDefault="00BF372D" w:rsidP="00F55B9B">
      <w:pPr>
        <w:ind w:left="1416"/>
        <w:rPr>
          <w:i/>
          <w:sz w:val="18"/>
          <w:szCs w:val="18"/>
          <w:lang w:val="en-US"/>
        </w:rPr>
      </w:pPr>
      <w:r w:rsidRPr="00837711">
        <w:rPr>
          <w:i/>
          <w:sz w:val="18"/>
          <w:szCs w:val="18"/>
          <w:lang w:val="en-US"/>
        </w:rPr>
        <w:t xml:space="preserve">18.07.2020. </w:t>
      </w:r>
      <w:r w:rsidRPr="00BF372D">
        <w:rPr>
          <w:i/>
          <w:sz w:val="18"/>
          <w:szCs w:val="18"/>
          <w:lang w:val="en-US"/>
        </w:rPr>
        <w:t xml:space="preserve">Associate Prof. </w:t>
      </w:r>
      <w:r w:rsidR="00A30447" w:rsidRPr="00BF372D">
        <w:rPr>
          <w:i/>
          <w:sz w:val="18"/>
          <w:szCs w:val="18"/>
          <w:lang w:val="en-US"/>
        </w:rPr>
        <w:t xml:space="preserve"> Piotr Lewitowicz MD, PhD</w:t>
      </w:r>
    </w:p>
    <w:p w:rsidR="00625A95" w:rsidRPr="00BF372D" w:rsidRDefault="00625A95">
      <w:pPr>
        <w:rPr>
          <w:lang w:val="en-US"/>
        </w:rPr>
      </w:pPr>
    </w:p>
    <w:sectPr w:rsidR="00625A95" w:rsidRPr="00BF372D" w:rsidSect="008E4CED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C4" w:rsidRDefault="00567DC4">
      <w:r>
        <w:separator/>
      </w:r>
    </w:p>
  </w:endnote>
  <w:endnote w:type="continuationSeparator" w:id="0">
    <w:p w:rsidR="00567DC4" w:rsidRDefault="0056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C4" w:rsidRDefault="00567DC4">
      <w:r>
        <w:separator/>
      </w:r>
    </w:p>
  </w:footnote>
  <w:footnote w:type="continuationSeparator" w:id="0">
    <w:p w:rsidR="00567DC4" w:rsidRDefault="00567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ED" w:rsidRPr="00EE2575" w:rsidRDefault="00567DC4" w:rsidP="008E4CED">
    <w:pPr>
      <w:jc w:val="right"/>
      <w:rPr>
        <w:b/>
        <w:sz w:val="16"/>
        <w:szCs w:val="16"/>
        <w:lang w:val="en-GB"/>
      </w:rPr>
    </w:pPr>
  </w:p>
  <w:p w:rsidR="00A915F3" w:rsidRDefault="00567D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9B"/>
    <w:rsid w:val="00083F31"/>
    <w:rsid w:val="002854EA"/>
    <w:rsid w:val="002904A2"/>
    <w:rsid w:val="002C3760"/>
    <w:rsid w:val="003C01B4"/>
    <w:rsid w:val="00437E62"/>
    <w:rsid w:val="0050526C"/>
    <w:rsid w:val="005178F8"/>
    <w:rsid w:val="00567DC4"/>
    <w:rsid w:val="00625A95"/>
    <w:rsid w:val="007123C1"/>
    <w:rsid w:val="007B7A61"/>
    <w:rsid w:val="007D1E38"/>
    <w:rsid w:val="00837711"/>
    <w:rsid w:val="008B4DA4"/>
    <w:rsid w:val="00925C13"/>
    <w:rsid w:val="00944234"/>
    <w:rsid w:val="00961031"/>
    <w:rsid w:val="00A30447"/>
    <w:rsid w:val="00AF40B0"/>
    <w:rsid w:val="00B30B72"/>
    <w:rsid w:val="00BE4B2B"/>
    <w:rsid w:val="00BF372D"/>
    <w:rsid w:val="00CB40A1"/>
    <w:rsid w:val="00CF56AD"/>
    <w:rsid w:val="00D833C3"/>
    <w:rsid w:val="00F55B9B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7A8B2F-C095-4D02-AD69-B4AA2440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B9B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Akapitzlist">
    <w:name w:val="List Paragraph"/>
    <w:basedOn w:val="Normalny"/>
    <w:uiPriority w:val="34"/>
    <w:qFormat/>
    <w:rsid w:val="00F55B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55B9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5B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Widak</dc:creator>
  <cp:lastModifiedBy>Aneta Widak</cp:lastModifiedBy>
  <cp:revision>3</cp:revision>
  <dcterms:created xsi:type="dcterms:W3CDTF">2020-07-22T07:24:00Z</dcterms:created>
  <dcterms:modified xsi:type="dcterms:W3CDTF">2020-10-07T13:27:00Z</dcterms:modified>
</cp:coreProperties>
</file>